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4F52A" w14:textId="77777777" w:rsidR="000F6FF0" w:rsidRDefault="002A3D49">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#101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R1-200</w:t>
      </w:r>
      <w:r>
        <w:rPr>
          <w:rFonts w:ascii="Arial" w:eastAsia="ＭＳ 明朝" w:hAnsi="Arial" w:hint="eastAsia"/>
          <w:b/>
          <w:lang w:val="en-US"/>
        </w:rPr>
        <w:t>4</w:t>
      </w:r>
      <w:r>
        <w:rPr>
          <w:rFonts w:ascii="Arial" w:eastAsia="ＭＳ 明朝" w:hAnsi="Arial"/>
          <w:b/>
          <w:lang w:val="en-US"/>
        </w:rPr>
        <w:t>412</w:t>
      </w:r>
    </w:p>
    <w:bookmarkEnd w:id="0"/>
    <w:p w14:paraId="0E7E2979" w14:textId="77777777" w:rsidR="000F6FF0" w:rsidRDefault="002A3D49">
      <w:pPr>
        <w:tabs>
          <w:tab w:val="center" w:pos="4536"/>
          <w:tab w:val="right" w:pos="9072"/>
        </w:tabs>
        <w:rPr>
          <w:rFonts w:ascii="Arial" w:eastAsia="ＭＳ 明朝" w:hAnsi="Arial"/>
          <w:b/>
        </w:rPr>
      </w:pPr>
      <w:r>
        <w:rPr>
          <w:rFonts w:ascii="Arial" w:eastAsia="ＭＳ 明朝" w:hAnsi="Arial"/>
          <w:b/>
        </w:rPr>
        <w:t>e-Meeting, May 25th – June 5th, 2020</w:t>
      </w:r>
    </w:p>
    <w:p w14:paraId="1909B8F0" w14:textId="77777777" w:rsidR="000F6FF0" w:rsidRDefault="000F6FF0">
      <w:pPr>
        <w:tabs>
          <w:tab w:val="center" w:pos="4536"/>
          <w:tab w:val="right" w:pos="8280"/>
          <w:tab w:val="right" w:pos="9639"/>
        </w:tabs>
        <w:ind w:right="2"/>
        <w:rPr>
          <w:rFonts w:ascii="Arial" w:hAnsi="Arial" w:cs="Arial"/>
          <w:b/>
          <w:bCs/>
          <w:sz w:val="28"/>
        </w:rPr>
      </w:pPr>
    </w:p>
    <w:p w14:paraId="25088896" w14:textId="77777777" w:rsidR="000F6FF0" w:rsidRDefault="002A3D49">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w:t>
      </w:r>
      <w:r>
        <w:rPr>
          <w:rFonts w:ascii="Arial" w:eastAsia="ＭＳ 明朝" w:hAnsi="Arial" w:hint="eastAsia"/>
          <w:b/>
          <w:lang w:val="en-US"/>
        </w:rPr>
        <w:t>, INC.</w:t>
      </w:r>
      <w:r>
        <w:rPr>
          <w:rFonts w:ascii="Arial" w:eastAsia="ＭＳ 明朝" w:hAnsi="Arial"/>
          <w:b/>
          <w:lang w:val="en-US"/>
        </w:rPr>
        <w:t>)</w:t>
      </w:r>
    </w:p>
    <w:bookmarkEnd w:id="1"/>
    <w:p w14:paraId="536C9B36" w14:textId="77777777" w:rsidR="000F6FF0" w:rsidRDefault="002A3D49">
      <w:pPr>
        <w:widowControl w:val="0"/>
        <w:ind w:left="1800" w:hanging="1800"/>
        <w:rPr>
          <w:rFonts w:ascii="Arial" w:eastAsia="ＭＳ 明朝" w:hAnsi="Arial"/>
          <w:b/>
          <w:lang w:val="en-US"/>
        </w:rPr>
      </w:pPr>
      <w:r>
        <w:rPr>
          <w:rFonts w:ascii="Arial" w:eastAsia="ＭＳ 明朝" w:hAnsi="Arial"/>
          <w:b/>
          <w:lang w:val="en-US" w:eastAsia="zh-CN"/>
        </w:rPr>
        <w:t>Title:</w:t>
      </w:r>
      <w:r>
        <w:rPr>
          <w:rFonts w:ascii="Arial" w:eastAsia="ＭＳ 明朝" w:hAnsi="Arial"/>
          <w:b/>
          <w:lang w:val="en-US" w:eastAsia="zh-CN"/>
        </w:rPr>
        <w:tab/>
      </w:r>
      <w:bookmarkStart w:id="2" w:name="OLE_LINK22"/>
      <w:bookmarkStart w:id="3" w:name="OLE_LINK8"/>
      <w:bookmarkStart w:id="4" w:name="OLE_LINK9"/>
      <w:bookmarkStart w:id="5" w:name="OLE_LINK21"/>
      <w:r>
        <w:rPr>
          <w:rFonts w:ascii="Arial" w:eastAsia="ＭＳ 明朝" w:hAnsi="Arial"/>
          <w:b/>
          <w:lang w:val="en-US"/>
        </w:rPr>
        <w:t xml:space="preserve">Summary </w:t>
      </w:r>
      <w:r>
        <w:rPr>
          <w:rFonts w:ascii="Arial" w:eastAsia="ＭＳ 明朝" w:hAnsi="Arial" w:hint="eastAsia"/>
          <w:b/>
          <w:lang w:val="en-US"/>
        </w:rPr>
        <w:t xml:space="preserve">on </w:t>
      </w:r>
      <w:r>
        <w:rPr>
          <w:rFonts w:ascii="Arial" w:eastAsia="ＭＳ 明朝" w:hAnsi="Arial"/>
          <w:b/>
          <w:lang w:val="en-US" w:eastAsia="zh-CN"/>
        </w:rPr>
        <w:t xml:space="preserve">UE features for </w:t>
      </w:r>
      <w:r>
        <w:rPr>
          <w:rFonts w:ascii="Arial" w:eastAsia="ＭＳ 明朝" w:hAnsi="Arial"/>
          <w:b/>
          <w:lang w:val="en-US"/>
        </w:rPr>
        <w:t>CLI/RIM</w:t>
      </w:r>
    </w:p>
    <w:bookmarkEnd w:id="2"/>
    <w:bookmarkEnd w:id="3"/>
    <w:bookmarkEnd w:id="4"/>
    <w:bookmarkEnd w:id="5"/>
    <w:p w14:paraId="088B53B7" w14:textId="77777777" w:rsidR="000F6FF0" w:rsidRDefault="002A3D49">
      <w:pPr>
        <w:widowControl w:val="0"/>
        <w:tabs>
          <w:tab w:val="left" w:pos="1800"/>
        </w:tabs>
        <w:ind w:left="1800" w:hanging="1800"/>
        <w:rPr>
          <w:rFonts w:ascii="Arial" w:eastAsia="ＭＳ 明朝" w:hAnsi="Arial"/>
          <w:b/>
          <w:lang w:val="en-US"/>
        </w:rPr>
      </w:pPr>
      <w:r>
        <w:rPr>
          <w:rFonts w:ascii="Arial" w:eastAsia="ＭＳ 明朝" w:hAnsi="Arial"/>
          <w:b/>
          <w:lang w:val="en-US" w:eastAsia="zh-CN"/>
        </w:rPr>
        <w:t>Agenda Item:</w:t>
      </w:r>
      <w:bookmarkStart w:id="6" w:name="Source"/>
      <w:bookmarkEnd w:id="6"/>
      <w:r>
        <w:rPr>
          <w:rFonts w:ascii="Arial" w:eastAsia="ＭＳ 明朝" w:hAnsi="Arial"/>
          <w:b/>
          <w:lang w:val="en-US" w:eastAsia="zh-CN"/>
        </w:rPr>
        <w:tab/>
      </w:r>
      <w:r>
        <w:rPr>
          <w:rFonts w:ascii="Arial" w:eastAsia="ＭＳ 明朝" w:hAnsi="Arial"/>
          <w:b/>
          <w:lang w:val="en-US"/>
        </w:rPr>
        <w:t>7.2.11.</w:t>
      </w:r>
      <w:r>
        <w:rPr>
          <w:rFonts w:ascii="Arial" w:eastAsia="ＭＳ 明朝" w:hAnsi="Arial" w:hint="eastAsia"/>
          <w:b/>
          <w:lang w:val="en-US"/>
        </w:rPr>
        <w:t>11</w:t>
      </w:r>
    </w:p>
    <w:p w14:paraId="641758F0" w14:textId="77777777" w:rsidR="000F6FF0" w:rsidRDefault="002A3D49">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6EBBD7A3" w14:textId="77777777" w:rsidR="000F6FF0" w:rsidRDefault="000F6FF0">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74C69FF" w14:textId="77777777" w:rsidR="000F6FF0" w:rsidRDefault="002A3D49">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Pr>
          <w:rFonts w:ascii="Arial" w:eastAsia="Batang" w:hAnsi="Arial"/>
          <w:sz w:val="32"/>
          <w:szCs w:val="32"/>
          <w:lang w:val="en-US" w:eastAsia="ko-KR"/>
        </w:rPr>
        <w:t>Introduction</w:t>
      </w:r>
      <w:bookmarkEnd w:id="8"/>
    </w:p>
    <w:p w14:paraId="098B3721" w14:textId="77777777" w:rsidR="000F6FF0" w:rsidRDefault="002A3D49">
      <w:pPr>
        <w:rPr>
          <w:rFonts w:eastAsia="Malgun Gothic" w:cs="Batang"/>
          <w:sz w:val="22"/>
          <w:szCs w:val="22"/>
          <w:lang w:val="en-US" w:eastAsia="en-US"/>
        </w:rPr>
      </w:pPr>
      <w:r>
        <w:rPr>
          <w:rFonts w:eastAsia="Malgun Gothic" w:cs="Batang"/>
          <w:sz w:val="22"/>
          <w:szCs w:val="22"/>
          <w:lang w:val="en-US" w:eastAsia="en-US"/>
        </w:rPr>
        <w:t>This contribution summarizes the discussions and proposals in AI 7.2.11.11 regarding UE features for CLI/RIM.</w:t>
      </w:r>
    </w:p>
    <w:p w14:paraId="3CCE9826" w14:textId="77777777" w:rsidR="000F6FF0" w:rsidRDefault="000F6FF0">
      <w:pPr>
        <w:rPr>
          <w:rFonts w:eastAsia="Malgun Gothic" w:cs="Batang"/>
          <w:sz w:val="22"/>
          <w:szCs w:val="22"/>
          <w:lang w:val="en-US" w:eastAsia="en-US"/>
        </w:rPr>
      </w:pPr>
    </w:p>
    <w:p w14:paraId="5CAFB542" w14:textId="77777777" w:rsidR="000F6FF0" w:rsidRDefault="002A3D49">
      <w:pPr>
        <w:rPr>
          <w:bCs/>
          <w:sz w:val="22"/>
          <w:szCs w:val="22"/>
          <w:lang w:val="en-US"/>
        </w:rPr>
      </w:pPr>
      <w:r>
        <w:rPr>
          <w:rFonts w:eastAsia="Malgun Gothic" w:cs="Batang"/>
          <w:sz w:val="22"/>
          <w:szCs w:val="22"/>
          <w:lang w:val="en-US" w:eastAsia="en-US"/>
        </w:rPr>
        <w:t>Based on the discussions summarized in Section 2, following is the suggested list of email discussions/approvals for AI 7.2.11.11.</w:t>
      </w:r>
    </w:p>
    <w:p w14:paraId="5BC97B71" w14:textId="77777777" w:rsidR="000F6FF0" w:rsidRDefault="002A3D49">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of list of email discussion/approval</w:t>
      </w:r>
      <w:r>
        <w:rPr>
          <w:rFonts w:hint="eastAsia"/>
          <w:b/>
          <w:sz w:val="22"/>
          <w:u w:val="single"/>
          <w:lang w:val="en-US"/>
        </w:rPr>
        <w:t>:</w:t>
      </w:r>
    </w:p>
    <w:p w14:paraId="5B918F6A" w14:textId="77777777" w:rsidR="000F6FF0" w:rsidRDefault="002A3D49">
      <w:pPr>
        <w:rPr>
          <w:b/>
          <w:sz w:val="22"/>
          <w:szCs w:val="22"/>
          <w:lang w:val="en-US"/>
        </w:rPr>
      </w:pPr>
      <w:r>
        <w:rPr>
          <w:b/>
          <w:sz w:val="22"/>
          <w:szCs w:val="22"/>
          <w:lang w:val="en-US"/>
        </w:rPr>
        <w:t>[101-e-NR-UEFeatures-CLIRIM-01] Email discussion/approval on remaining issues on UE features for CLI/RIM (25</w:t>
      </w:r>
      <w:r>
        <w:rPr>
          <w:b/>
          <w:sz w:val="22"/>
          <w:szCs w:val="22"/>
          <w:vertAlign w:val="superscript"/>
          <w:lang w:val="en-US"/>
        </w:rPr>
        <w:t>th</w:t>
      </w:r>
      <w:r>
        <w:rPr>
          <w:b/>
          <w:sz w:val="22"/>
          <w:szCs w:val="22"/>
          <w:lang w:val="en-US"/>
        </w:rPr>
        <w:t xml:space="preserve"> – 29</w:t>
      </w:r>
      <w:r>
        <w:rPr>
          <w:b/>
          <w:sz w:val="22"/>
          <w:szCs w:val="22"/>
          <w:vertAlign w:val="superscript"/>
          <w:lang w:val="en-US"/>
        </w:rPr>
        <w:t>th</w:t>
      </w:r>
      <w:r>
        <w:rPr>
          <w:b/>
          <w:sz w:val="22"/>
          <w:szCs w:val="22"/>
          <w:lang w:val="en-US"/>
        </w:rPr>
        <w:t xml:space="preserve"> May)</w:t>
      </w:r>
    </w:p>
    <w:p w14:paraId="7A37CEE3" w14:textId="77777777" w:rsidR="000F6FF0" w:rsidRDefault="002A3D49">
      <w:pPr>
        <w:numPr>
          <w:ilvl w:val="0"/>
          <w:numId w:val="10"/>
        </w:numPr>
        <w:rPr>
          <w:b/>
          <w:sz w:val="22"/>
          <w:szCs w:val="22"/>
          <w:lang w:val="en-US"/>
        </w:rPr>
      </w:pPr>
      <w:r>
        <w:rPr>
          <w:rFonts w:hint="eastAsia"/>
          <w:b/>
          <w:sz w:val="22"/>
          <w:szCs w:val="22"/>
          <w:lang w:val="en-US"/>
        </w:rPr>
        <w:t>D</w:t>
      </w:r>
      <w:r>
        <w:rPr>
          <w:b/>
          <w:sz w:val="22"/>
          <w:szCs w:val="22"/>
          <w:lang w:val="en-US"/>
        </w:rPr>
        <w:t>iscuss and decide whether/how to handle licensed/unlicensed differentiation for FG17-1/2</w:t>
      </w:r>
    </w:p>
    <w:p w14:paraId="4A08E48F" w14:textId="77777777" w:rsidR="000F6FF0" w:rsidRDefault="002A3D49">
      <w:pPr>
        <w:numPr>
          <w:ilvl w:val="0"/>
          <w:numId w:val="10"/>
        </w:numPr>
        <w:rPr>
          <w:b/>
          <w:sz w:val="22"/>
          <w:szCs w:val="22"/>
          <w:lang w:val="en-US"/>
        </w:rPr>
      </w:pPr>
      <w:r>
        <w:rPr>
          <w:rFonts w:hint="eastAsia"/>
          <w:b/>
          <w:sz w:val="22"/>
          <w:szCs w:val="22"/>
          <w:lang w:val="en-US"/>
        </w:rPr>
        <w:t>D</w:t>
      </w:r>
      <w:r>
        <w:rPr>
          <w:b/>
          <w:sz w:val="22"/>
          <w:szCs w:val="22"/>
          <w:lang w:val="en-US"/>
        </w:rPr>
        <w:t>iscuss and decide whether to keep the current notes for FG17-3/4 or to remove them</w:t>
      </w:r>
    </w:p>
    <w:p w14:paraId="523512CC" w14:textId="77777777" w:rsidR="000F6FF0" w:rsidRDefault="000F6FF0">
      <w:pPr>
        <w:rPr>
          <w:b/>
          <w:sz w:val="22"/>
          <w:szCs w:val="22"/>
          <w:lang w:val="en-US"/>
        </w:rPr>
      </w:pPr>
    </w:p>
    <w:p w14:paraId="591EF593" w14:textId="77777777" w:rsidR="000F6FF0" w:rsidRDefault="002A3D4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2"/>
        <w:tblW w:w="9628" w:type="dxa"/>
        <w:tblLayout w:type="fixed"/>
        <w:tblLook w:val="04A0" w:firstRow="1" w:lastRow="0" w:firstColumn="1" w:lastColumn="0" w:noHBand="0" w:noVBand="1"/>
      </w:tblPr>
      <w:tblGrid>
        <w:gridCol w:w="1941"/>
        <w:gridCol w:w="7687"/>
      </w:tblGrid>
      <w:tr w:rsidR="000F6FF0" w14:paraId="4EB95055" w14:textId="77777777">
        <w:tc>
          <w:tcPr>
            <w:tcW w:w="1941" w:type="dxa"/>
            <w:shd w:val="clear" w:color="auto" w:fill="F2F2F2" w:themeFill="background1" w:themeFillShade="F2"/>
          </w:tcPr>
          <w:p w14:paraId="13BFDD99" w14:textId="77777777" w:rsidR="000F6FF0" w:rsidRDefault="002A3D49">
            <w:pPr>
              <w:spacing w:afterLines="50" w:after="120"/>
              <w:jc w:val="both"/>
              <w:rPr>
                <w:sz w:val="22"/>
                <w:lang w:val="en-US"/>
              </w:rPr>
            </w:pPr>
            <w:r>
              <w:rPr>
                <w:rFonts w:hint="eastAsia"/>
                <w:sz w:val="22"/>
                <w:lang w:val="en-US"/>
              </w:rPr>
              <w:t>C</w:t>
            </w:r>
            <w:r>
              <w:rPr>
                <w:sz w:val="22"/>
                <w:lang w:val="en-US"/>
              </w:rPr>
              <w:t>ompany</w:t>
            </w:r>
          </w:p>
        </w:tc>
        <w:tc>
          <w:tcPr>
            <w:tcW w:w="7687" w:type="dxa"/>
            <w:shd w:val="clear" w:color="auto" w:fill="F2F2F2" w:themeFill="background1" w:themeFillShade="F2"/>
          </w:tcPr>
          <w:p w14:paraId="42A4FE37" w14:textId="77777777" w:rsidR="000F6FF0" w:rsidRDefault="002A3D49">
            <w:pPr>
              <w:spacing w:afterLines="50" w:after="120"/>
              <w:jc w:val="both"/>
              <w:rPr>
                <w:sz w:val="22"/>
                <w:lang w:val="en-US"/>
              </w:rPr>
            </w:pPr>
            <w:r>
              <w:rPr>
                <w:rFonts w:hint="eastAsia"/>
                <w:sz w:val="22"/>
                <w:lang w:val="en-US"/>
              </w:rPr>
              <w:t>C</w:t>
            </w:r>
            <w:r>
              <w:rPr>
                <w:sz w:val="22"/>
                <w:lang w:val="en-US"/>
              </w:rPr>
              <w:t>omment</w:t>
            </w:r>
          </w:p>
        </w:tc>
      </w:tr>
      <w:tr w:rsidR="000F6FF0" w14:paraId="0B85BC35" w14:textId="77777777">
        <w:tc>
          <w:tcPr>
            <w:tcW w:w="1941" w:type="dxa"/>
          </w:tcPr>
          <w:p w14:paraId="364BAA3E" w14:textId="77777777" w:rsidR="000F6FF0" w:rsidRDefault="002A3D49">
            <w:pPr>
              <w:spacing w:afterLines="50" w:after="120"/>
              <w:jc w:val="both"/>
              <w:rPr>
                <w:rFonts w:eastAsia="SimSun"/>
                <w:sz w:val="22"/>
                <w:lang w:val="en-US" w:eastAsia="zh-CN"/>
              </w:rPr>
            </w:pPr>
            <w:r>
              <w:rPr>
                <w:rFonts w:eastAsia="SimSun" w:hint="eastAsia"/>
                <w:sz w:val="22"/>
                <w:lang w:val="en-US" w:eastAsia="zh-CN"/>
              </w:rPr>
              <w:t>ZTE</w:t>
            </w:r>
          </w:p>
        </w:tc>
        <w:tc>
          <w:tcPr>
            <w:tcW w:w="7687" w:type="dxa"/>
          </w:tcPr>
          <w:p w14:paraId="0FCECC71" w14:textId="77777777" w:rsidR="000F6FF0" w:rsidRDefault="002A3D49">
            <w:pPr>
              <w:spacing w:afterLines="50" w:after="120"/>
              <w:jc w:val="both"/>
              <w:rPr>
                <w:rFonts w:eastAsia="SimSun"/>
                <w:sz w:val="22"/>
                <w:lang w:val="en-US" w:eastAsia="zh-CN"/>
              </w:rPr>
            </w:pPr>
            <w:r>
              <w:rPr>
                <w:rFonts w:eastAsia="SimSun" w:hint="eastAsia"/>
                <w:sz w:val="22"/>
                <w:lang w:val="en-US" w:eastAsia="zh-CN"/>
              </w:rPr>
              <w:t>Agree with the list of issues for email discussion.</w:t>
            </w:r>
          </w:p>
        </w:tc>
      </w:tr>
      <w:tr w:rsidR="000F6FF0" w14:paraId="03AAB5F5" w14:textId="77777777">
        <w:tc>
          <w:tcPr>
            <w:tcW w:w="1941" w:type="dxa"/>
          </w:tcPr>
          <w:p w14:paraId="2491F6BA" w14:textId="77777777" w:rsidR="000F6FF0" w:rsidRDefault="00E01F7E">
            <w:pPr>
              <w:spacing w:afterLines="50" w:after="120"/>
              <w:jc w:val="both"/>
              <w:rPr>
                <w:sz w:val="22"/>
                <w:lang w:val="en-US"/>
              </w:rPr>
            </w:pPr>
            <w:r>
              <w:rPr>
                <w:sz w:val="22"/>
                <w:lang w:val="en-US"/>
              </w:rPr>
              <w:t>Intel</w:t>
            </w:r>
          </w:p>
        </w:tc>
        <w:tc>
          <w:tcPr>
            <w:tcW w:w="7687" w:type="dxa"/>
          </w:tcPr>
          <w:p w14:paraId="0EB2FD43" w14:textId="77777777" w:rsidR="000F6FF0" w:rsidRDefault="00E01F7E">
            <w:pPr>
              <w:spacing w:afterLines="50" w:after="120"/>
              <w:jc w:val="both"/>
              <w:rPr>
                <w:sz w:val="22"/>
                <w:lang w:val="en-US"/>
              </w:rPr>
            </w:pPr>
            <w:r>
              <w:rPr>
                <w:sz w:val="22"/>
                <w:lang w:val="en-US"/>
              </w:rPr>
              <w:t xml:space="preserve">We agree with </w:t>
            </w:r>
            <w:r w:rsidR="007544F8">
              <w:rPr>
                <w:sz w:val="22"/>
                <w:lang w:val="en-US"/>
              </w:rPr>
              <w:t xml:space="preserve">the </w:t>
            </w:r>
            <w:r>
              <w:rPr>
                <w:sz w:val="22"/>
                <w:lang w:val="en-US"/>
              </w:rPr>
              <w:t>FL proposal</w:t>
            </w:r>
          </w:p>
        </w:tc>
      </w:tr>
      <w:tr w:rsidR="000F6FF0" w14:paraId="1F500EA5" w14:textId="77777777">
        <w:tc>
          <w:tcPr>
            <w:tcW w:w="1941" w:type="dxa"/>
          </w:tcPr>
          <w:p w14:paraId="47131779" w14:textId="77777777" w:rsidR="000F6FF0" w:rsidRDefault="000F6FF0">
            <w:pPr>
              <w:spacing w:afterLines="50" w:after="120"/>
              <w:jc w:val="both"/>
              <w:rPr>
                <w:sz w:val="22"/>
                <w:lang w:val="en-US"/>
              </w:rPr>
            </w:pPr>
          </w:p>
        </w:tc>
        <w:tc>
          <w:tcPr>
            <w:tcW w:w="7687" w:type="dxa"/>
          </w:tcPr>
          <w:p w14:paraId="427861E3" w14:textId="77777777" w:rsidR="000F6FF0" w:rsidRDefault="000F6FF0">
            <w:pPr>
              <w:spacing w:afterLines="50" w:after="120"/>
              <w:jc w:val="both"/>
              <w:rPr>
                <w:sz w:val="22"/>
                <w:lang w:val="en-US"/>
              </w:rPr>
            </w:pPr>
          </w:p>
        </w:tc>
      </w:tr>
      <w:tr w:rsidR="000F6FF0" w14:paraId="03FBC1DC" w14:textId="77777777">
        <w:tc>
          <w:tcPr>
            <w:tcW w:w="1941" w:type="dxa"/>
          </w:tcPr>
          <w:p w14:paraId="5D4E86DD" w14:textId="77777777" w:rsidR="000F6FF0" w:rsidRDefault="000F6FF0">
            <w:pPr>
              <w:spacing w:afterLines="50" w:after="120"/>
              <w:jc w:val="both"/>
              <w:rPr>
                <w:sz w:val="22"/>
                <w:lang w:val="en-US"/>
              </w:rPr>
            </w:pPr>
          </w:p>
        </w:tc>
        <w:tc>
          <w:tcPr>
            <w:tcW w:w="7687" w:type="dxa"/>
          </w:tcPr>
          <w:p w14:paraId="2898AB98" w14:textId="77777777" w:rsidR="000F6FF0" w:rsidRDefault="000F6FF0">
            <w:pPr>
              <w:spacing w:afterLines="50" w:after="120"/>
              <w:jc w:val="both"/>
              <w:rPr>
                <w:sz w:val="22"/>
                <w:lang w:val="en-US"/>
              </w:rPr>
            </w:pPr>
          </w:p>
        </w:tc>
      </w:tr>
    </w:tbl>
    <w:p w14:paraId="6C48CE04" w14:textId="77777777" w:rsidR="000F6FF0" w:rsidRDefault="002A3D49">
      <w:pPr>
        <w:rPr>
          <w:b/>
        </w:rPr>
        <w:sectPr w:rsidR="000F6FF0">
          <w:footerReference w:type="default" r:id="rId12"/>
          <w:pgSz w:w="11906" w:h="16838"/>
          <w:pgMar w:top="851" w:right="1134" w:bottom="567" w:left="1134" w:header="720" w:footer="720" w:gutter="0"/>
          <w:cols w:space="720"/>
          <w:docGrid w:linePitch="326"/>
        </w:sectPr>
      </w:pPr>
      <w:r>
        <w:rPr>
          <w:b/>
        </w:rPr>
        <w:br w:type="page"/>
      </w:r>
    </w:p>
    <w:p w14:paraId="40145907" w14:textId="77777777" w:rsidR="000F6FF0" w:rsidRDefault="000F6FF0">
      <w:pPr>
        <w:pStyle w:val="affb"/>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7A838D5" w14:textId="77777777" w:rsidR="000F6FF0" w:rsidRDefault="002A3D49">
      <w:pPr>
        <w:pStyle w:val="affb"/>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 CLI/RIM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F6FF0" w14:paraId="12E0CFB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B9934AC"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7F867688"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647E4D9E"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5C749D4F"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00C3C3A8"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135C358"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693F378"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Gulim" w:hAnsi="Arial" w:cs="Century"/>
                <w:b/>
                <w:color w:val="000000"/>
                <w:sz w:val="18"/>
                <w:lang w:eastAsia="zh-CN"/>
              </w:rPr>
              <w:t xml:space="preserve">Applicable to </w:t>
            </w:r>
            <w:r>
              <w:rPr>
                <w:rFonts w:ascii="Arial" w:eastAsia="Times New Roman" w:hAnsi="Arial" w:cs="Century"/>
                <w:b/>
                <w:color w:val="000000"/>
                <w:sz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4F00235" w14:textId="77777777" w:rsidR="000F6FF0" w:rsidRDefault="002A3D49">
            <w:pPr>
              <w:keepNext/>
              <w:keepLines/>
              <w:rPr>
                <w:rFonts w:ascii="Arial" w:eastAsia="ＭＳ 明朝" w:hAnsi="Arial"/>
                <w:b/>
                <w:sz w:val="18"/>
              </w:rPr>
            </w:pPr>
            <w:r>
              <w:rPr>
                <w:rFonts w:ascii="Arial" w:eastAsia="ＭＳ 明朝"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6918D42" w14:textId="77777777" w:rsidR="000F6FF0" w:rsidRDefault="002A3D49">
            <w:pPr>
              <w:keepNext/>
              <w:keepLines/>
              <w:rPr>
                <w:rFonts w:ascii="Arial" w:eastAsia="ＭＳ 明朝" w:hAnsi="Arial"/>
                <w:b/>
                <w:sz w:val="18"/>
              </w:rPr>
            </w:pPr>
            <w:r>
              <w:rPr>
                <w:rFonts w:ascii="Arial" w:eastAsia="ＭＳ 明朝" w:hAnsi="Arial"/>
                <w:b/>
                <w:sz w:val="18"/>
              </w:rPr>
              <w:t>Type</w:t>
            </w:r>
          </w:p>
          <w:p w14:paraId="78E50D4A" w14:textId="77777777" w:rsidR="000F6FF0" w:rsidRDefault="002A3D49">
            <w:pPr>
              <w:keepNext/>
              <w:keepLines/>
              <w:rPr>
                <w:rFonts w:ascii="Arial" w:eastAsia="ＭＳ 明朝" w:hAnsi="Arial"/>
                <w:b/>
                <w:sz w:val="18"/>
              </w:rPr>
            </w:pPr>
            <w:proofErr w:type="gramStart"/>
            <w:r>
              <w:rPr>
                <w:rFonts w:ascii="Arial" w:eastAsia="ＭＳ 明朝" w:hAnsi="Arial"/>
                <w:b/>
                <w:sz w:val="18"/>
              </w:rPr>
              <w:t>( 1</w:t>
            </w:r>
            <w:proofErr w:type="gramEnd"/>
            <w:r>
              <w:rPr>
                <w:rFonts w:ascii="Arial" w:eastAsia="ＭＳ 明朝" w:hAnsi="Arial"/>
                <w:b/>
                <w:sz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63BDACE"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145BB52"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B301241"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E391CCE"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2012F8D5" w14:textId="77777777" w:rsidR="000F6FF0" w:rsidRDefault="002A3D49">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Mandatory/Optional</w:t>
            </w:r>
          </w:p>
        </w:tc>
      </w:tr>
      <w:tr w:rsidR="000F6FF0" w14:paraId="2ED9662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58E164B" w14:textId="77777777" w:rsidR="000F6FF0" w:rsidRDefault="002A3D49">
            <w:pPr>
              <w:keepNext/>
              <w:keepLines/>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46FA2186" w14:textId="77777777" w:rsidR="000F6FF0" w:rsidRDefault="002A3D49">
            <w:pPr>
              <w:keepNext/>
              <w:keepLines/>
              <w:rPr>
                <w:rFonts w:ascii="Arial" w:eastAsia="ＭＳ 明朝" w:hAnsi="Arial"/>
                <w:sz w:val="18"/>
              </w:rPr>
            </w:pPr>
            <w:r>
              <w:rPr>
                <w:rFonts w:ascii="Arial" w:eastAsia="ＭＳ 明朝" w:hAnsi="Arial"/>
                <w:sz w:val="18"/>
              </w:rPr>
              <w:t>17-1</w:t>
            </w:r>
          </w:p>
        </w:tc>
        <w:tc>
          <w:tcPr>
            <w:tcW w:w="1559" w:type="dxa"/>
            <w:tcBorders>
              <w:top w:val="single" w:sz="4" w:space="0" w:color="auto"/>
              <w:left w:val="single" w:sz="4" w:space="0" w:color="auto"/>
              <w:bottom w:val="single" w:sz="4" w:space="0" w:color="auto"/>
              <w:right w:val="single" w:sz="4" w:space="0" w:color="auto"/>
            </w:tcBorders>
          </w:tcPr>
          <w:p w14:paraId="04E4E933" w14:textId="77777777" w:rsidR="000F6FF0" w:rsidRDefault="002A3D49">
            <w:pPr>
              <w:keepNext/>
              <w:keepLines/>
              <w:rPr>
                <w:rFonts w:ascii="Arial" w:eastAsia="ＭＳ 明朝" w:hAnsi="Arial"/>
                <w:sz w:val="18"/>
                <w:lang w:eastAsia="en-US"/>
              </w:rPr>
            </w:pPr>
            <w:r>
              <w:rPr>
                <w:rFonts w:ascii="Arial" w:eastAsia="ＭＳ 明朝"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5CD302FF" w14:textId="77777777" w:rsidR="000F6FF0" w:rsidRDefault="002A3D49">
            <w:pPr>
              <w:keepNext/>
              <w:keepLines/>
              <w:rPr>
                <w:rFonts w:ascii="Arial" w:eastAsia="ＭＳ 明朝" w:hAnsi="Arial"/>
                <w:sz w:val="18"/>
                <w:lang w:eastAsia="en-US"/>
              </w:rPr>
            </w:pPr>
            <w:r>
              <w:rPr>
                <w:rFonts w:ascii="Arial" w:eastAsia="ＭＳ 明朝" w:hAnsi="Arial"/>
                <w:sz w:val="18"/>
                <w:lang w:eastAsia="en-US"/>
              </w:rPr>
              <w:t>1. Support CLI-RSSI measurement. The max number of resources across all CCs configured to measure RSSI shall not exceed 64.</w:t>
            </w:r>
          </w:p>
          <w:p w14:paraId="2626D6B1" w14:textId="77777777" w:rsidR="000F6FF0" w:rsidRDefault="002A3D49">
            <w:pPr>
              <w:keepNext/>
              <w:keepLines/>
              <w:rPr>
                <w:rFonts w:ascii="Arial" w:eastAsia="ＭＳ 明朝" w:hAnsi="Arial"/>
                <w:sz w:val="18"/>
              </w:rPr>
            </w:pPr>
            <w:r>
              <w:rPr>
                <w:rFonts w:ascii="Arial" w:eastAsia="ＭＳ 明朝" w:hAnsi="Arial" w:hint="eastAsia"/>
                <w:sz w:val="18"/>
              </w:rPr>
              <w:t>2</w:t>
            </w:r>
            <w:r>
              <w:rPr>
                <w:rFonts w:ascii="Arial" w:eastAsia="ＭＳ 明朝" w:hAnsi="Arial"/>
                <w:sz w:val="18"/>
              </w:rPr>
              <w:t>.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tcPr>
          <w:p w14:paraId="3B0706EA" w14:textId="77777777" w:rsidR="000F6FF0" w:rsidRDefault="000F6FF0">
            <w:pPr>
              <w:keepNext/>
              <w:keepLines/>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7A104D8" w14:textId="77777777" w:rsidR="000F6FF0" w:rsidRDefault="002A3D49">
            <w:pPr>
              <w:keepNext/>
              <w:keepLines/>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17439109" w14:textId="77777777" w:rsidR="000F6FF0" w:rsidRDefault="002A3D49">
            <w:pPr>
              <w:keepNext/>
              <w:keepLines/>
              <w:rPr>
                <w:rFonts w:ascii="Arial" w:eastAsia="ＭＳ 明朝" w:hAnsi="Arial"/>
                <w:i/>
                <w:sz w:val="18"/>
                <w:lang w:eastAsia="en-US"/>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161FD373" w14:textId="77777777" w:rsidR="000F6FF0" w:rsidRDefault="000F6FF0">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5DFF99B3" w14:textId="77777777" w:rsidR="000F6FF0" w:rsidRDefault="002A3D49">
            <w:pPr>
              <w:keepNext/>
              <w:keepLines/>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31B84756" w14:textId="77777777" w:rsidR="000F6FF0" w:rsidRDefault="002A3D49">
            <w:pPr>
              <w:keepNext/>
              <w:keepLines/>
              <w:rPr>
                <w:rFonts w:ascii="Arial" w:eastAsia="ＭＳ 明朝" w:hAnsi="Arial"/>
                <w:sz w:val="18"/>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059589E2" w14:textId="77777777" w:rsidR="000F6FF0" w:rsidRDefault="002A3D49">
            <w:pPr>
              <w:keepNext/>
              <w:keepLines/>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54D75C32" w14:textId="77777777" w:rsidR="000F6FF0" w:rsidRDefault="002A3D49">
            <w:pPr>
              <w:keepNext/>
              <w:keepLines/>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64F8D3BC" w14:textId="77777777" w:rsidR="000F6FF0" w:rsidRDefault="002A3D49">
            <w:pPr>
              <w:keepNext/>
              <w:keepLines/>
              <w:rPr>
                <w:rFonts w:ascii="Arial" w:eastAsia="ＭＳ 明朝" w:hAnsi="Arial"/>
                <w:sz w:val="18"/>
                <w:lang w:eastAsia="en-US"/>
              </w:rPr>
            </w:pPr>
            <w:r>
              <w:rPr>
                <w:rFonts w:ascii="Arial" w:eastAsia="ＭＳ 明朝" w:hAnsi="Arial"/>
                <w:sz w:val="18"/>
                <w:lang w:eastAsia="en-US"/>
              </w:rPr>
              <w:t>Candidate values for component 2 are {8, 16, 32, 64}.</w:t>
            </w:r>
          </w:p>
          <w:p w14:paraId="38DFD0E1" w14:textId="77777777" w:rsidR="000F6FF0" w:rsidRDefault="000F6FF0">
            <w:pPr>
              <w:keepNext/>
              <w:keepLines/>
              <w:rPr>
                <w:rFonts w:ascii="Arial" w:eastAsia="ＭＳ 明朝" w:hAnsi="Arial"/>
                <w:sz w:val="18"/>
                <w:lang w:eastAsia="en-US"/>
              </w:rPr>
            </w:pPr>
          </w:p>
          <w:p w14:paraId="7D5D0BB2" w14:textId="77777777" w:rsidR="000F6FF0" w:rsidRDefault="002A3D49">
            <w:pPr>
              <w:keepNext/>
              <w:keepLines/>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7596A233" w14:textId="77777777" w:rsidR="000F6FF0" w:rsidRDefault="002A3D49">
            <w:pPr>
              <w:keepNext/>
              <w:keepLines/>
              <w:rPr>
                <w:rFonts w:ascii="Arial" w:eastAsia="ＭＳ 明朝" w:hAnsi="Arial"/>
                <w:sz w:val="18"/>
              </w:rPr>
            </w:pPr>
            <w:r>
              <w:rPr>
                <w:rFonts w:ascii="Arial" w:eastAsia="ＭＳ 明朝" w:hAnsi="Arial"/>
                <w:sz w:val="18"/>
              </w:rPr>
              <w:t>Optional with capability signalling</w:t>
            </w:r>
          </w:p>
        </w:tc>
      </w:tr>
      <w:tr w:rsidR="000F6FF0" w14:paraId="243955A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530C819" w14:textId="77777777" w:rsidR="000F6FF0" w:rsidRDefault="002A3D49">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1B79506F" w14:textId="77777777" w:rsidR="000F6FF0" w:rsidRDefault="002A3D49">
            <w:pPr>
              <w:rPr>
                <w:rFonts w:ascii="Arial" w:eastAsia="ＭＳ 明朝" w:hAnsi="Arial"/>
                <w:sz w:val="18"/>
              </w:rPr>
            </w:pPr>
            <w:r>
              <w:rPr>
                <w:rFonts w:ascii="Arial" w:eastAsia="ＭＳ 明朝" w:hAnsi="Arial"/>
                <w:sz w:val="18"/>
              </w:rPr>
              <w:t>17-2</w:t>
            </w:r>
          </w:p>
        </w:tc>
        <w:tc>
          <w:tcPr>
            <w:tcW w:w="1559" w:type="dxa"/>
            <w:tcBorders>
              <w:top w:val="single" w:sz="4" w:space="0" w:color="auto"/>
              <w:left w:val="single" w:sz="4" w:space="0" w:color="auto"/>
              <w:bottom w:val="single" w:sz="4" w:space="0" w:color="auto"/>
              <w:right w:val="single" w:sz="4" w:space="0" w:color="auto"/>
            </w:tcBorders>
          </w:tcPr>
          <w:p w14:paraId="180F74A3" w14:textId="77777777" w:rsidR="000F6FF0" w:rsidRDefault="002A3D49">
            <w:pPr>
              <w:rPr>
                <w:rFonts w:ascii="Arial" w:eastAsia="ＭＳ 明朝" w:hAnsi="Arial"/>
                <w:sz w:val="18"/>
                <w:lang w:eastAsia="en-US"/>
              </w:rPr>
            </w:pPr>
            <w:r>
              <w:rPr>
                <w:rFonts w:ascii="Arial" w:eastAsia="ＭＳ 明朝"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23FA618A" w14:textId="77777777" w:rsidR="000F6FF0" w:rsidRDefault="002A3D49">
            <w:pPr>
              <w:rPr>
                <w:rFonts w:ascii="Arial" w:eastAsia="ＭＳ 明朝" w:hAnsi="Arial"/>
                <w:sz w:val="18"/>
                <w:lang w:eastAsia="en-US"/>
              </w:rPr>
            </w:pPr>
            <w:r>
              <w:rPr>
                <w:rFonts w:ascii="Arial" w:eastAsia="ＭＳ 明朝" w:hAnsi="Arial"/>
                <w:sz w:val="18"/>
                <w:lang w:eastAsia="en-US"/>
              </w:rPr>
              <w:t>1. Support SRS-RSRP measurement. The max number of SRS resources across all CCs configured to measure SRS-RSRP shall not exceed 32.</w:t>
            </w:r>
          </w:p>
          <w:p w14:paraId="577CBA2E" w14:textId="77777777" w:rsidR="000F6FF0" w:rsidRDefault="002A3D49">
            <w:pPr>
              <w:rPr>
                <w:rFonts w:ascii="Arial" w:eastAsia="ＭＳ 明朝" w:hAnsi="Arial"/>
                <w:sz w:val="18"/>
                <w:lang w:eastAsia="en-US"/>
              </w:rPr>
            </w:pPr>
            <w:r>
              <w:rPr>
                <w:rFonts w:ascii="Arial" w:eastAsia="ＭＳ 明朝" w:hAnsi="Arial"/>
                <w:sz w:val="18"/>
                <w:lang w:eastAsia="en-US"/>
              </w:rPr>
              <w:t>2. Maximum number of measurement resources configured for SRS-RSRP measurement</w:t>
            </w:r>
          </w:p>
          <w:p w14:paraId="66FF68C0" w14:textId="77777777" w:rsidR="000F6FF0" w:rsidRDefault="002A3D49">
            <w:pPr>
              <w:rPr>
                <w:rFonts w:ascii="Arial" w:eastAsia="ＭＳ 明朝" w:hAnsi="Arial"/>
                <w:sz w:val="18"/>
              </w:rPr>
            </w:pPr>
            <w:r>
              <w:rPr>
                <w:rFonts w:ascii="Arial" w:eastAsia="ＭＳ 明朝" w:hAnsi="Arial" w:hint="eastAsia"/>
                <w:sz w:val="18"/>
              </w:rPr>
              <w:t>3</w:t>
            </w:r>
            <w:r>
              <w:rPr>
                <w:rFonts w:ascii="Arial" w:eastAsia="ＭＳ 明朝" w:hAnsi="Arial"/>
                <w:sz w:val="18"/>
              </w:rPr>
              <w:t>.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tcPr>
          <w:p w14:paraId="6F62791F" w14:textId="77777777" w:rsidR="000F6FF0" w:rsidRDefault="000F6FF0">
            <w:pPr>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2FCD7F44" w14:textId="77777777" w:rsidR="000F6FF0" w:rsidRDefault="002A3D49">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799827D8" w14:textId="77777777" w:rsidR="000F6FF0" w:rsidRDefault="002A3D49">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5D3D88FF" w14:textId="77777777" w:rsidR="000F6FF0" w:rsidRDefault="000F6FF0">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1CBD7E79" w14:textId="77777777" w:rsidR="000F6FF0" w:rsidRDefault="002A3D49">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2CA9A7A6" w14:textId="77777777" w:rsidR="000F6FF0" w:rsidRDefault="002A3D49">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03914DEC" w14:textId="77777777" w:rsidR="000F6FF0" w:rsidRDefault="002A3D49">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7866F633" w14:textId="77777777" w:rsidR="000F6FF0" w:rsidRDefault="002A3D49">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21000DD2" w14:textId="77777777" w:rsidR="000F6FF0" w:rsidRDefault="002A3D49">
            <w:pPr>
              <w:rPr>
                <w:rFonts w:ascii="Arial" w:eastAsia="ＭＳ 明朝" w:hAnsi="Arial"/>
                <w:sz w:val="18"/>
                <w:lang w:eastAsia="en-US"/>
              </w:rPr>
            </w:pPr>
            <w:r>
              <w:rPr>
                <w:rFonts w:ascii="Arial" w:eastAsia="ＭＳ 明朝" w:hAnsi="Arial"/>
                <w:sz w:val="18"/>
                <w:lang w:eastAsia="en-US"/>
              </w:rPr>
              <w:t>Candidate values for component 2 are {4, 8, 16, 32}.</w:t>
            </w:r>
          </w:p>
          <w:p w14:paraId="1A1EFE8B" w14:textId="77777777" w:rsidR="000F6FF0" w:rsidRDefault="002A3D49">
            <w:pPr>
              <w:rPr>
                <w:rFonts w:ascii="Arial" w:eastAsia="ＭＳ 明朝" w:hAnsi="Arial"/>
                <w:sz w:val="18"/>
                <w:lang w:eastAsia="en-US"/>
              </w:rPr>
            </w:pPr>
            <w:r>
              <w:rPr>
                <w:rFonts w:ascii="Arial" w:eastAsia="ＭＳ 明朝" w:hAnsi="Arial"/>
                <w:sz w:val="18"/>
                <w:lang w:eastAsia="en-US"/>
              </w:rPr>
              <w:t>Candidate values for component 3 are {2, 4, 8}.</w:t>
            </w:r>
          </w:p>
          <w:p w14:paraId="3217D863" w14:textId="77777777" w:rsidR="000F6FF0" w:rsidRDefault="000F6FF0">
            <w:pPr>
              <w:rPr>
                <w:rFonts w:ascii="Arial" w:eastAsia="ＭＳ 明朝" w:hAnsi="Arial"/>
                <w:sz w:val="18"/>
                <w:lang w:eastAsia="en-US"/>
              </w:rPr>
            </w:pPr>
          </w:p>
          <w:p w14:paraId="57D52927" w14:textId="77777777" w:rsidR="000F6FF0" w:rsidRDefault="002A3D49">
            <w:pPr>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2798992F" w14:textId="77777777" w:rsidR="000F6FF0" w:rsidRDefault="002A3D49">
            <w:pPr>
              <w:rPr>
                <w:rFonts w:ascii="Arial" w:eastAsia="ＭＳ 明朝" w:hAnsi="Arial"/>
                <w:sz w:val="18"/>
              </w:rPr>
            </w:pPr>
            <w:r>
              <w:rPr>
                <w:rFonts w:ascii="Arial" w:eastAsia="ＭＳ 明朝" w:hAnsi="Arial"/>
                <w:sz w:val="18"/>
              </w:rPr>
              <w:t>Optional with capability signalling</w:t>
            </w:r>
          </w:p>
        </w:tc>
      </w:tr>
      <w:tr w:rsidR="000F6FF0" w14:paraId="13DB266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979646" w14:textId="77777777" w:rsidR="000F6FF0" w:rsidRDefault="002A3D49">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406CD485" w14:textId="77777777" w:rsidR="000F6FF0" w:rsidRDefault="002A3D49">
            <w:pPr>
              <w:rPr>
                <w:rFonts w:ascii="Arial" w:eastAsia="ＭＳ 明朝" w:hAnsi="Arial"/>
                <w:sz w:val="18"/>
              </w:rPr>
            </w:pPr>
            <w:r>
              <w:rPr>
                <w:rFonts w:ascii="Arial" w:eastAsia="ＭＳ 明朝" w:hAnsi="Arial"/>
                <w:sz w:val="18"/>
              </w:rPr>
              <w:t>17-3</w:t>
            </w:r>
          </w:p>
        </w:tc>
        <w:tc>
          <w:tcPr>
            <w:tcW w:w="1559" w:type="dxa"/>
            <w:tcBorders>
              <w:top w:val="single" w:sz="4" w:space="0" w:color="auto"/>
              <w:left w:val="single" w:sz="4" w:space="0" w:color="auto"/>
              <w:bottom w:val="single" w:sz="4" w:space="0" w:color="auto"/>
              <w:right w:val="single" w:sz="4" w:space="0" w:color="auto"/>
            </w:tcBorders>
          </w:tcPr>
          <w:p w14:paraId="2A21CB08" w14:textId="77777777" w:rsidR="000F6FF0" w:rsidRDefault="002A3D49">
            <w:pPr>
              <w:rPr>
                <w:rFonts w:ascii="Arial" w:eastAsia="ＭＳ 明朝" w:hAnsi="Arial"/>
                <w:sz w:val="18"/>
                <w:lang w:eastAsia="en-US"/>
              </w:rPr>
            </w:pPr>
            <w:r>
              <w:rPr>
                <w:rFonts w:ascii="Arial" w:eastAsia="ＭＳ 明朝" w:hAnsi="Arial"/>
                <w:sz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6D76CE24" w14:textId="77777777" w:rsidR="000F6FF0" w:rsidRDefault="002A3D49">
            <w:pPr>
              <w:rPr>
                <w:rFonts w:ascii="Arial" w:eastAsia="ＭＳ 明朝" w:hAnsi="Arial"/>
                <w:sz w:val="18"/>
                <w:lang w:eastAsia="en-US"/>
              </w:rPr>
            </w:pPr>
            <w:r>
              <w:rPr>
                <w:rFonts w:ascii="Arial" w:eastAsia="ＭＳ 明朝" w:hAnsi="Arial"/>
                <w:sz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01CF2BED" w14:textId="77777777" w:rsidR="000F6FF0" w:rsidRDefault="002A3D49">
            <w:pPr>
              <w:rPr>
                <w:rFonts w:ascii="Arial" w:eastAsia="ＭＳ 明朝" w:hAnsi="Arial"/>
                <w:sz w:val="18"/>
              </w:rPr>
            </w:pPr>
            <w:r>
              <w:rPr>
                <w:rFonts w:ascii="Arial" w:eastAsia="ＭＳ 明朝" w:hAnsi="Arial"/>
                <w:sz w:val="18"/>
              </w:rPr>
              <w:t>17-1</w:t>
            </w:r>
          </w:p>
        </w:tc>
        <w:tc>
          <w:tcPr>
            <w:tcW w:w="858" w:type="dxa"/>
            <w:tcBorders>
              <w:top w:val="single" w:sz="4" w:space="0" w:color="auto"/>
              <w:left w:val="single" w:sz="4" w:space="0" w:color="auto"/>
              <w:bottom w:val="single" w:sz="4" w:space="0" w:color="auto"/>
              <w:right w:val="single" w:sz="4" w:space="0" w:color="auto"/>
            </w:tcBorders>
          </w:tcPr>
          <w:p w14:paraId="03D4C57E" w14:textId="77777777" w:rsidR="000F6FF0" w:rsidRDefault="002A3D49">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14A93491" w14:textId="77777777" w:rsidR="000F6FF0" w:rsidRDefault="002A3D49">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3A525537" w14:textId="77777777" w:rsidR="000F6FF0" w:rsidRDefault="000F6FF0">
            <w:pPr>
              <w:rPr>
                <w:rFonts w:ascii="Arial" w:eastAsia="ＭＳ 明朝"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039BF291" w14:textId="77777777" w:rsidR="000F6FF0" w:rsidRDefault="002A3D49">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10B55CBA" w14:textId="77777777" w:rsidR="000F6FF0" w:rsidRDefault="002A3D49">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8B2F9F4" w14:textId="77777777" w:rsidR="000F6FF0" w:rsidRDefault="002A3D49">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252BC9D4" w14:textId="77777777" w:rsidR="000F6FF0" w:rsidRDefault="002A3D49">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1BEA88BC" w14:textId="77777777" w:rsidR="000F6FF0" w:rsidRDefault="002A3D49">
            <w:pPr>
              <w:rPr>
                <w:rFonts w:ascii="Arial" w:eastAsia="ＭＳ 明朝" w:hAnsi="Arial"/>
                <w:sz w:val="18"/>
                <w:lang w:eastAsia="en-US"/>
              </w:rPr>
            </w:pPr>
            <w:r>
              <w:rPr>
                <w:rFonts w:ascii="Arial" w:eastAsia="ＭＳ 明朝" w:hAnsi="Arial"/>
                <w:sz w:val="18"/>
                <w:lang w:eastAsia="en-US"/>
              </w:rPr>
              <w:t>[UE shall prioritize CLI-RSSI measurement when simultaneous reception of DL signals/channels and CLI-RSSI measurement resource is not supported.]</w:t>
            </w:r>
          </w:p>
        </w:tc>
        <w:tc>
          <w:tcPr>
            <w:tcW w:w="1276" w:type="dxa"/>
            <w:tcBorders>
              <w:top w:val="single" w:sz="4" w:space="0" w:color="auto"/>
              <w:left w:val="single" w:sz="4" w:space="0" w:color="auto"/>
              <w:bottom w:val="single" w:sz="4" w:space="0" w:color="auto"/>
              <w:right w:val="single" w:sz="4" w:space="0" w:color="auto"/>
            </w:tcBorders>
          </w:tcPr>
          <w:p w14:paraId="0F8C490D" w14:textId="77777777" w:rsidR="000F6FF0" w:rsidRDefault="002A3D49">
            <w:pPr>
              <w:rPr>
                <w:rFonts w:ascii="Arial" w:eastAsia="ＭＳ 明朝" w:hAnsi="Arial"/>
                <w:sz w:val="18"/>
              </w:rPr>
            </w:pPr>
            <w:r>
              <w:rPr>
                <w:rFonts w:ascii="Arial" w:eastAsia="ＭＳ 明朝" w:hAnsi="Arial"/>
                <w:sz w:val="18"/>
              </w:rPr>
              <w:t>Optional with capability signalling</w:t>
            </w:r>
          </w:p>
        </w:tc>
      </w:tr>
      <w:tr w:rsidR="000F6FF0" w14:paraId="4D8D307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95D1D7A" w14:textId="77777777" w:rsidR="000F6FF0" w:rsidRDefault="002A3D49">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6440A5EA" w14:textId="77777777" w:rsidR="000F6FF0" w:rsidRDefault="002A3D49">
            <w:pPr>
              <w:rPr>
                <w:rFonts w:ascii="Arial" w:eastAsia="ＭＳ 明朝" w:hAnsi="Arial"/>
                <w:sz w:val="18"/>
              </w:rPr>
            </w:pPr>
            <w:r>
              <w:rPr>
                <w:rFonts w:ascii="Arial" w:eastAsia="ＭＳ 明朝" w:hAnsi="Arial"/>
                <w:sz w:val="18"/>
              </w:rPr>
              <w:t>17-4</w:t>
            </w:r>
          </w:p>
        </w:tc>
        <w:tc>
          <w:tcPr>
            <w:tcW w:w="1559" w:type="dxa"/>
            <w:tcBorders>
              <w:top w:val="single" w:sz="4" w:space="0" w:color="auto"/>
              <w:left w:val="single" w:sz="4" w:space="0" w:color="auto"/>
              <w:bottom w:val="single" w:sz="4" w:space="0" w:color="auto"/>
              <w:right w:val="single" w:sz="4" w:space="0" w:color="auto"/>
            </w:tcBorders>
          </w:tcPr>
          <w:p w14:paraId="1F29DE9F" w14:textId="77777777" w:rsidR="000F6FF0" w:rsidRDefault="002A3D49">
            <w:pPr>
              <w:rPr>
                <w:rFonts w:ascii="Arial" w:eastAsia="ＭＳ 明朝" w:hAnsi="Arial"/>
                <w:sz w:val="18"/>
                <w:lang w:eastAsia="en-US"/>
              </w:rPr>
            </w:pPr>
            <w:r>
              <w:rPr>
                <w:rFonts w:ascii="Arial" w:eastAsia="ＭＳ 明朝" w:hAnsi="Arial"/>
                <w:sz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244E40B9" w14:textId="77777777" w:rsidR="000F6FF0" w:rsidRDefault="002A3D49">
            <w:pPr>
              <w:rPr>
                <w:rFonts w:ascii="Arial" w:eastAsia="ＭＳ 明朝" w:hAnsi="Arial"/>
                <w:sz w:val="18"/>
                <w:lang w:eastAsia="en-US"/>
              </w:rPr>
            </w:pPr>
            <w:r>
              <w:rPr>
                <w:rFonts w:ascii="Arial" w:eastAsia="ＭＳ 明朝" w:hAnsi="Arial"/>
                <w:sz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6915AD35" w14:textId="77777777" w:rsidR="000F6FF0" w:rsidRDefault="002A3D49">
            <w:pPr>
              <w:rPr>
                <w:rFonts w:ascii="Arial" w:eastAsia="ＭＳ 明朝" w:hAnsi="Arial"/>
                <w:sz w:val="18"/>
              </w:rPr>
            </w:pPr>
            <w:r>
              <w:rPr>
                <w:rFonts w:ascii="Arial" w:eastAsia="ＭＳ 明朝" w:hAnsi="Arial"/>
                <w:sz w:val="18"/>
              </w:rPr>
              <w:t>17-2</w:t>
            </w:r>
          </w:p>
        </w:tc>
        <w:tc>
          <w:tcPr>
            <w:tcW w:w="858" w:type="dxa"/>
            <w:tcBorders>
              <w:top w:val="single" w:sz="4" w:space="0" w:color="auto"/>
              <w:left w:val="single" w:sz="4" w:space="0" w:color="auto"/>
              <w:bottom w:val="single" w:sz="4" w:space="0" w:color="auto"/>
              <w:right w:val="single" w:sz="4" w:space="0" w:color="auto"/>
            </w:tcBorders>
          </w:tcPr>
          <w:p w14:paraId="7FA2A656" w14:textId="77777777" w:rsidR="000F6FF0" w:rsidRDefault="002A3D49">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1DD43A83" w14:textId="77777777" w:rsidR="000F6FF0" w:rsidRDefault="002A3D49">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71D5846F" w14:textId="77777777" w:rsidR="000F6FF0" w:rsidRDefault="000F6FF0">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469627" w14:textId="77777777" w:rsidR="000F6FF0" w:rsidRDefault="002A3D49">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59FB2B83" w14:textId="77777777" w:rsidR="000F6FF0" w:rsidRDefault="002A3D49">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C11629" w14:textId="77777777" w:rsidR="000F6FF0" w:rsidRDefault="002A3D49">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717BE700" w14:textId="77777777" w:rsidR="000F6FF0" w:rsidRDefault="002A3D49">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3959EF79" w14:textId="77777777" w:rsidR="000F6FF0" w:rsidRDefault="002A3D49">
            <w:pPr>
              <w:rPr>
                <w:rFonts w:ascii="Arial" w:eastAsia="ＭＳ 明朝" w:hAnsi="Arial"/>
                <w:sz w:val="18"/>
                <w:lang w:eastAsia="en-US"/>
              </w:rPr>
            </w:pPr>
            <w:r>
              <w:rPr>
                <w:rFonts w:ascii="Arial" w:eastAsia="ＭＳ 明朝" w:hAnsi="Arial"/>
                <w:sz w:val="18"/>
                <w:lang w:eastAsia="en-US"/>
              </w:rPr>
              <w:t>[UE shall prioritize SRS-RSRP measurement when simultaneous reception of DL signals/channels and SRS-RSRP measurement resource is not supported.]</w:t>
            </w:r>
          </w:p>
        </w:tc>
        <w:tc>
          <w:tcPr>
            <w:tcW w:w="1276" w:type="dxa"/>
            <w:tcBorders>
              <w:top w:val="single" w:sz="4" w:space="0" w:color="auto"/>
              <w:left w:val="single" w:sz="4" w:space="0" w:color="auto"/>
              <w:bottom w:val="single" w:sz="4" w:space="0" w:color="auto"/>
              <w:right w:val="single" w:sz="4" w:space="0" w:color="auto"/>
            </w:tcBorders>
          </w:tcPr>
          <w:p w14:paraId="4A44D431" w14:textId="77777777" w:rsidR="000F6FF0" w:rsidRDefault="002A3D49">
            <w:pPr>
              <w:rPr>
                <w:rFonts w:ascii="Arial" w:eastAsia="ＭＳ 明朝" w:hAnsi="Arial"/>
                <w:sz w:val="18"/>
              </w:rPr>
            </w:pPr>
            <w:r>
              <w:rPr>
                <w:rFonts w:ascii="Arial" w:eastAsia="ＭＳ 明朝" w:hAnsi="Arial"/>
                <w:sz w:val="18"/>
              </w:rPr>
              <w:t>Optional with capability signalling</w:t>
            </w:r>
          </w:p>
        </w:tc>
      </w:tr>
    </w:tbl>
    <w:p w14:paraId="3C894F2D" w14:textId="77777777" w:rsidR="000F6FF0" w:rsidRDefault="000F6FF0">
      <w:pPr>
        <w:rPr>
          <w:rFonts w:ascii="Arial" w:eastAsia="Batang" w:hAnsi="Arial"/>
          <w:sz w:val="32"/>
          <w:szCs w:val="32"/>
          <w:lang w:val="en-US" w:eastAsia="ko-KR"/>
        </w:rPr>
      </w:pPr>
    </w:p>
    <w:p w14:paraId="7AAF342E" w14:textId="77777777" w:rsidR="000F6FF0" w:rsidRDefault="002A3D49">
      <w:pPr>
        <w:pStyle w:val="affb"/>
        <w:numPr>
          <w:ilvl w:val="0"/>
          <w:numId w:val="12"/>
        </w:numPr>
        <w:spacing w:afterLines="50" w:after="120"/>
        <w:ind w:leftChars="0"/>
        <w:jc w:val="both"/>
        <w:rPr>
          <w:b/>
          <w:bCs/>
          <w:sz w:val="22"/>
          <w:lang w:val="en-US"/>
        </w:rPr>
      </w:pPr>
      <w:r>
        <w:rPr>
          <w:rFonts w:hint="eastAsia"/>
          <w:b/>
          <w:bCs/>
          <w:sz w:val="22"/>
          <w:lang w:val="en-US"/>
        </w:rPr>
        <w:lastRenderedPageBreak/>
        <w:t>F</w:t>
      </w:r>
      <w:r>
        <w:rPr>
          <w:b/>
          <w:bCs/>
          <w:sz w:val="22"/>
          <w:lang w:val="en-US"/>
        </w:rPr>
        <w:t>G17-1/2</w:t>
      </w:r>
    </w:p>
    <w:p w14:paraId="2E71C9D0" w14:textId="77777777" w:rsidR="000F6FF0" w:rsidRDefault="002A3D49">
      <w:pPr>
        <w:pStyle w:val="affb"/>
        <w:numPr>
          <w:ilvl w:val="1"/>
          <w:numId w:val="12"/>
        </w:numPr>
        <w:spacing w:afterLines="50" w:after="120"/>
        <w:ind w:leftChars="0"/>
        <w:jc w:val="both"/>
        <w:rPr>
          <w:b/>
          <w:bCs/>
          <w:sz w:val="22"/>
          <w:lang w:val="en-US"/>
        </w:rPr>
      </w:pPr>
      <w:r>
        <w:rPr>
          <w:b/>
          <w:bCs/>
          <w:sz w:val="22"/>
          <w:lang w:val="en-US"/>
        </w:rPr>
        <w:t>Licensed/unlicensed differentiation</w:t>
      </w:r>
    </w:p>
    <w:p w14:paraId="5E580933" w14:textId="77777777" w:rsidR="000F6FF0" w:rsidRDefault="002A3D49">
      <w:pPr>
        <w:pStyle w:val="affb"/>
        <w:numPr>
          <w:ilvl w:val="2"/>
          <w:numId w:val="12"/>
        </w:numPr>
        <w:spacing w:afterLines="50" w:after="120"/>
        <w:ind w:leftChars="0"/>
        <w:jc w:val="both"/>
        <w:rPr>
          <w:b/>
          <w:bCs/>
          <w:sz w:val="22"/>
          <w:lang w:val="en-US"/>
        </w:rPr>
      </w:pPr>
      <w:r>
        <w:rPr>
          <w:b/>
          <w:bCs/>
          <w:sz w:val="22"/>
          <w:lang w:val="en-US"/>
        </w:rPr>
        <w:t>No differentiation: [2], [7]</w:t>
      </w:r>
    </w:p>
    <w:p w14:paraId="7265E528" w14:textId="77777777" w:rsidR="000F6FF0" w:rsidRDefault="002A3D49">
      <w:pPr>
        <w:pStyle w:val="affb"/>
        <w:numPr>
          <w:ilvl w:val="2"/>
          <w:numId w:val="12"/>
        </w:numPr>
        <w:spacing w:afterLines="50" w:after="120"/>
        <w:ind w:leftChars="0"/>
        <w:jc w:val="both"/>
        <w:rPr>
          <w:b/>
          <w:bCs/>
          <w:sz w:val="22"/>
          <w:lang w:val="en-US"/>
        </w:rPr>
      </w:pPr>
      <w:r>
        <w:rPr>
          <w:rFonts w:hint="eastAsia"/>
          <w:b/>
          <w:bCs/>
          <w:sz w:val="22"/>
          <w:lang w:val="en-US"/>
        </w:rPr>
        <w:t>C</w:t>
      </w:r>
      <w:r>
        <w:rPr>
          <w:b/>
          <w:bCs/>
          <w:sz w:val="22"/>
          <w:lang w:val="en-US"/>
        </w:rPr>
        <w:t>LI on unlicensed spectrum is not supported in Rel-16: [4]</w:t>
      </w:r>
    </w:p>
    <w:p w14:paraId="4A15247E" w14:textId="77777777" w:rsidR="000F6FF0" w:rsidRDefault="002A3D49">
      <w:pPr>
        <w:pStyle w:val="affb"/>
        <w:numPr>
          <w:ilvl w:val="2"/>
          <w:numId w:val="12"/>
        </w:numPr>
        <w:spacing w:afterLines="50" w:after="120"/>
        <w:ind w:leftChars="0"/>
        <w:jc w:val="both"/>
        <w:rPr>
          <w:b/>
          <w:bCs/>
          <w:sz w:val="22"/>
          <w:lang w:val="en-US"/>
        </w:rPr>
      </w:pPr>
      <w:r>
        <w:rPr>
          <w:b/>
          <w:bCs/>
          <w:sz w:val="22"/>
          <w:lang w:val="en-US"/>
        </w:rPr>
        <w:t>Change reporting type to “per band”: [6], [</w:t>
      </w:r>
      <w:proofErr w:type="gramStart"/>
      <w:r>
        <w:rPr>
          <w:b/>
          <w:bCs/>
          <w:sz w:val="22"/>
          <w:lang w:val="en-US"/>
        </w:rPr>
        <w:t>5](</w:t>
      </w:r>
      <w:proofErr w:type="gramEnd"/>
      <w:r>
        <w:rPr>
          <w:b/>
          <w:bCs/>
          <w:sz w:val="22"/>
          <w:lang w:val="en-US"/>
        </w:rPr>
        <w:t>if differentiation is necessary)</w:t>
      </w:r>
    </w:p>
    <w:p w14:paraId="2825E472" w14:textId="77777777" w:rsidR="000F6FF0" w:rsidRDefault="002A3D49">
      <w:pPr>
        <w:pStyle w:val="affb"/>
        <w:numPr>
          <w:ilvl w:val="0"/>
          <w:numId w:val="12"/>
        </w:numPr>
        <w:spacing w:afterLines="50" w:after="120"/>
        <w:ind w:leftChars="0"/>
        <w:jc w:val="both"/>
        <w:rPr>
          <w:b/>
          <w:bCs/>
          <w:sz w:val="22"/>
          <w:lang w:val="en-US"/>
        </w:rPr>
      </w:pPr>
      <w:r>
        <w:rPr>
          <w:rFonts w:hint="eastAsia"/>
          <w:b/>
          <w:bCs/>
          <w:sz w:val="22"/>
          <w:lang w:val="en-US"/>
        </w:rPr>
        <w:t>F</w:t>
      </w:r>
      <w:r>
        <w:rPr>
          <w:b/>
          <w:bCs/>
          <w:sz w:val="22"/>
          <w:lang w:val="en-US"/>
        </w:rPr>
        <w:t>G17-3/4</w:t>
      </w:r>
    </w:p>
    <w:p w14:paraId="50B9A7C1" w14:textId="77777777" w:rsidR="000F6FF0" w:rsidRDefault="002A3D49">
      <w:pPr>
        <w:pStyle w:val="affb"/>
        <w:numPr>
          <w:ilvl w:val="1"/>
          <w:numId w:val="12"/>
        </w:numPr>
        <w:spacing w:afterLines="50" w:after="120"/>
        <w:ind w:leftChars="0"/>
        <w:jc w:val="both"/>
        <w:rPr>
          <w:b/>
          <w:bCs/>
          <w:sz w:val="22"/>
          <w:lang w:val="en-US"/>
        </w:rPr>
      </w:pPr>
      <w:r>
        <w:rPr>
          <w:rFonts w:hint="eastAsia"/>
          <w:b/>
          <w:bCs/>
          <w:sz w:val="22"/>
          <w:lang w:val="en-US"/>
        </w:rPr>
        <w:t>N</w:t>
      </w:r>
      <w:r>
        <w:rPr>
          <w:b/>
          <w:bCs/>
          <w:sz w:val="22"/>
          <w:lang w:val="en-US"/>
        </w:rPr>
        <w:t>ote</w:t>
      </w:r>
    </w:p>
    <w:p w14:paraId="7D6575BF" w14:textId="77777777" w:rsidR="000F6FF0" w:rsidRDefault="002A3D49">
      <w:pPr>
        <w:pStyle w:val="affb"/>
        <w:numPr>
          <w:ilvl w:val="2"/>
          <w:numId w:val="12"/>
        </w:numPr>
        <w:spacing w:afterLines="50" w:after="120"/>
        <w:ind w:leftChars="0"/>
        <w:jc w:val="both"/>
        <w:rPr>
          <w:b/>
          <w:bCs/>
          <w:sz w:val="22"/>
          <w:lang w:val="en-US"/>
        </w:rPr>
      </w:pPr>
      <w:r>
        <w:rPr>
          <w:b/>
          <w:bCs/>
          <w:sz w:val="22"/>
          <w:lang w:val="en-US"/>
        </w:rPr>
        <w:t>Keep the current notes (remove brackets): [2], [3], [5], [6], [7]</w:t>
      </w:r>
    </w:p>
    <w:p w14:paraId="38630A09" w14:textId="77777777" w:rsidR="000F6FF0" w:rsidRDefault="002A3D49">
      <w:pPr>
        <w:pStyle w:val="affb"/>
        <w:numPr>
          <w:ilvl w:val="2"/>
          <w:numId w:val="12"/>
        </w:numPr>
        <w:spacing w:afterLines="50" w:after="120"/>
        <w:ind w:leftChars="0"/>
        <w:jc w:val="both"/>
        <w:rPr>
          <w:b/>
          <w:bCs/>
          <w:sz w:val="22"/>
          <w:lang w:val="en-US"/>
        </w:rPr>
      </w:pPr>
      <w:r>
        <w:rPr>
          <w:b/>
          <w:bCs/>
          <w:sz w:val="22"/>
          <w:lang w:val="en-US"/>
        </w:rPr>
        <w:t>Remove the notes and modify FG17-1/2 components: [4]</w:t>
      </w:r>
    </w:p>
    <w:p w14:paraId="4A84D99B" w14:textId="77777777" w:rsidR="000F6FF0" w:rsidRDefault="000F6FF0">
      <w:pPr>
        <w:spacing w:afterLines="50" w:after="120"/>
        <w:jc w:val="both"/>
        <w:rPr>
          <w:sz w:val="22"/>
          <w:lang w:val="en-US"/>
        </w:rPr>
      </w:pPr>
    </w:p>
    <w:p w14:paraId="659CDD15" w14:textId="77777777" w:rsidR="000F6FF0" w:rsidRDefault="002A3D4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0F6FF0" w14:paraId="5AEC82F8" w14:textId="77777777">
        <w:tc>
          <w:tcPr>
            <w:tcW w:w="976" w:type="dxa"/>
          </w:tcPr>
          <w:p w14:paraId="4DDA5D4C" w14:textId="77777777" w:rsidR="000F6FF0" w:rsidRDefault="002A3D49">
            <w:pPr>
              <w:spacing w:afterLines="50" w:after="120"/>
              <w:jc w:val="both"/>
              <w:rPr>
                <w:rFonts w:eastAsia="ＭＳ 明朝"/>
                <w:sz w:val="22"/>
              </w:rPr>
            </w:pPr>
            <w:r>
              <w:rPr>
                <w:rFonts w:eastAsia="ＭＳ 明朝" w:hint="eastAsia"/>
                <w:sz w:val="22"/>
              </w:rPr>
              <w:t>[</w:t>
            </w:r>
            <w:r>
              <w:rPr>
                <w:rFonts w:eastAsia="ＭＳ 明朝"/>
                <w:sz w:val="22"/>
              </w:rPr>
              <w:t>2]</w:t>
            </w:r>
          </w:p>
        </w:tc>
        <w:tc>
          <w:tcPr>
            <w:tcW w:w="21404" w:type="dxa"/>
          </w:tcPr>
          <w:p w14:paraId="4D3A1150" w14:textId="77777777" w:rsidR="000F6FF0" w:rsidRDefault="002A3D49">
            <w:pPr>
              <w:snapToGrid w:val="0"/>
              <w:spacing w:beforeLines="50" w:before="120"/>
              <w:jc w:val="both"/>
              <w:rPr>
                <w:lang w:val="en-US" w:eastAsia="zh-CN"/>
              </w:rPr>
            </w:pPr>
            <w:r>
              <w:rPr>
                <w:rFonts w:hint="eastAsia"/>
                <w:lang w:val="en-US" w:eastAsia="zh-CN"/>
              </w:rPr>
              <w:t xml:space="preserve">RAN4 has agreed that </w:t>
            </w:r>
            <w:r>
              <w:rPr>
                <w:lang w:val="en-US" w:eastAsia="zh-CN"/>
              </w:rPr>
              <w:t xml:space="preserve">when UE indicates the FDMed reception is not supported, </w:t>
            </w:r>
            <w:r>
              <w:rPr>
                <w:rFonts w:hint="eastAsia"/>
                <w:lang w:val="en-US" w:eastAsia="zh-CN"/>
              </w:rPr>
              <w:t xml:space="preserve">the </w:t>
            </w:r>
            <w:r>
              <w:rPr>
                <w:lang w:val="en-US" w:eastAsia="zh-CN"/>
              </w:rPr>
              <w:t>UE shall prioritize CLI measurement, thus</w:t>
            </w:r>
            <w:r>
              <w:rPr>
                <w:rFonts w:hint="eastAsia"/>
                <w:lang w:val="en-US" w:eastAsia="zh-CN"/>
              </w:rPr>
              <w:t xml:space="preserve"> it</w:t>
            </w:r>
            <w:r>
              <w:rPr>
                <w:lang w:val="en-US" w:eastAsia="zh-CN"/>
              </w:rPr>
              <w:t xml:space="preserve"> is not required to receive DL signals</w:t>
            </w:r>
            <w:r>
              <w:rPr>
                <w:rFonts w:hint="eastAsia"/>
                <w:lang w:val="en-US" w:eastAsia="zh-CN"/>
              </w:rPr>
              <w:t>/c</w:t>
            </w:r>
            <w:r>
              <w:rPr>
                <w:lang w:val="en-US" w:eastAsia="zh-CN"/>
              </w:rPr>
              <w:t xml:space="preserve">hannels that overlap with the CLI measurement </w:t>
            </w:r>
            <w:proofErr w:type="gramStart"/>
            <w:r>
              <w:rPr>
                <w:rFonts w:hint="eastAsia"/>
                <w:lang w:val="en-US" w:eastAsia="zh-CN"/>
              </w:rPr>
              <w:t>occasions[</w:t>
            </w:r>
            <w:proofErr w:type="gramEnd"/>
            <w:r>
              <w:rPr>
                <w:rFonts w:hint="eastAsia"/>
                <w:lang w:val="en-US" w:eastAsia="zh-CN"/>
              </w:rPr>
              <w:t>2]. Therefore, we think current two notes in FG 17-3 and FG 17-4 are correct and brackets for notes should be deleted.</w:t>
            </w:r>
          </w:p>
          <w:p w14:paraId="47B708B2" w14:textId="77777777" w:rsidR="000F6FF0" w:rsidRDefault="002A3D49">
            <w:pPr>
              <w:jc w:val="both"/>
              <w:rPr>
                <w:b/>
                <w:bCs/>
                <w:lang w:val="en-US" w:eastAsia="zh-CN"/>
              </w:rPr>
            </w:pPr>
            <w:r>
              <w:rPr>
                <w:rFonts w:hint="eastAsia"/>
                <w:b/>
                <w:bCs/>
                <w:lang w:val="en-US" w:eastAsia="zh-CN"/>
              </w:rPr>
              <w:t>Proposal 1: Two notes for reception of DL signals/channel and CLI measurement resource in FG 17-3 and FG 17-4 should be accepted and brackets for them need to be deleted.</w:t>
            </w:r>
          </w:p>
          <w:p w14:paraId="53D57E50" w14:textId="77777777" w:rsidR="000F6FF0" w:rsidRDefault="000F6FF0">
            <w:pPr>
              <w:spacing w:afterLines="50" w:after="120"/>
              <w:jc w:val="both"/>
              <w:rPr>
                <w:rFonts w:eastAsia="ＭＳ 明朝"/>
                <w:sz w:val="22"/>
                <w:lang w:val="en-US"/>
              </w:rPr>
            </w:pPr>
          </w:p>
          <w:p w14:paraId="405BA13F" w14:textId="77777777" w:rsidR="000F6FF0" w:rsidRDefault="002A3D49">
            <w:pPr>
              <w:snapToGrid w:val="0"/>
              <w:spacing w:beforeLines="50" w:before="120"/>
              <w:jc w:val="both"/>
              <w:rPr>
                <w:lang w:val="en-US" w:eastAsia="zh-CN"/>
              </w:rPr>
            </w:pPr>
            <w:r>
              <w:rPr>
                <w:lang w:val="en-US" w:eastAsia="zh-CN"/>
              </w:rPr>
              <w:t>In the un</w:t>
            </w:r>
            <w:r>
              <w:rPr>
                <w:rFonts w:hint="eastAsia"/>
                <w:lang w:val="en-US" w:eastAsia="zh-CN"/>
              </w:rPr>
              <w:t>licensed</w:t>
            </w:r>
            <w:r>
              <w:rPr>
                <w:lang w:val="en-US" w:eastAsia="zh-CN"/>
              </w:rPr>
              <w:t xml:space="preserve"> spectrum, a </w:t>
            </w:r>
            <w:r>
              <w:rPr>
                <w:rFonts w:hint="eastAsia"/>
                <w:lang w:val="en-US" w:eastAsia="zh-CN"/>
              </w:rPr>
              <w:t>“</w:t>
            </w:r>
            <w:r>
              <w:rPr>
                <w:lang w:val="en-US" w:eastAsia="zh-CN"/>
              </w:rPr>
              <w:t>perfect</w:t>
            </w:r>
            <w:r>
              <w:rPr>
                <w:rFonts w:hint="eastAsia"/>
                <w:lang w:val="en-US" w:eastAsia="zh-CN"/>
              </w:rPr>
              <w:t>”</w:t>
            </w:r>
            <w:r>
              <w:rPr>
                <w:lang w:val="en-US" w:eastAsia="zh-CN"/>
              </w:rPr>
              <w:t xml:space="preserve"> LBT </w:t>
            </w:r>
            <w:r>
              <w:rPr>
                <w:rFonts w:hint="eastAsia"/>
                <w:lang w:val="en-US" w:eastAsia="zh-CN"/>
              </w:rPr>
              <w:t xml:space="preserve">mechanism </w:t>
            </w:r>
            <w:r>
              <w:rPr>
                <w:lang w:val="en-US" w:eastAsia="zh-CN"/>
              </w:rPr>
              <w:t xml:space="preserve">can </w:t>
            </w:r>
            <w:r>
              <w:rPr>
                <w:rFonts w:hint="eastAsia"/>
                <w:lang w:val="en-US" w:eastAsia="zh-CN"/>
              </w:rPr>
              <w:t xml:space="preserve">guarantee </w:t>
            </w:r>
            <w:r>
              <w:rPr>
                <w:lang w:val="en-US" w:eastAsia="zh-CN"/>
              </w:rPr>
              <w:t xml:space="preserve">that </w:t>
            </w:r>
            <w:r>
              <w:rPr>
                <w:rFonts w:hint="eastAsia"/>
                <w:lang w:val="en-US" w:eastAsia="zh-CN"/>
              </w:rPr>
              <w:t xml:space="preserve">there is no SLI/CLI interference from the </w:t>
            </w:r>
            <w:r>
              <w:rPr>
                <w:lang w:val="en-US" w:eastAsia="zh-CN"/>
              </w:rPr>
              <w:t>neighboring</w:t>
            </w:r>
            <w:r>
              <w:rPr>
                <w:rFonts w:hint="eastAsia"/>
                <w:lang w:val="en-US" w:eastAsia="zh-CN"/>
              </w:rPr>
              <w:t xml:space="preserve"> devices on a device which is receiving the data. </w:t>
            </w:r>
            <w:r>
              <w:rPr>
                <w:lang w:val="en-US" w:eastAsia="zh-CN"/>
              </w:rPr>
              <w:t xml:space="preserve">But in fact, </w:t>
            </w:r>
            <w:r>
              <w:rPr>
                <w:rFonts w:hint="eastAsia"/>
                <w:lang w:val="en-US" w:eastAsia="zh-CN"/>
              </w:rPr>
              <w:t>such</w:t>
            </w:r>
            <w:r>
              <w:rPr>
                <w:lang w:val="en-US" w:eastAsia="zh-CN"/>
              </w:rPr>
              <w:t xml:space="preserve"> “perfect” LBT mechanism does not exist</w:t>
            </w:r>
            <w:r>
              <w:rPr>
                <w:rFonts w:hint="eastAsia"/>
                <w:lang w:val="en-US" w:eastAsia="zh-CN"/>
              </w:rPr>
              <w:t>. F</w:t>
            </w:r>
            <w:r>
              <w:rPr>
                <w:lang w:val="en-US" w:eastAsia="zh-CN"/>
              </w:rPr>
              <w:t xml:space="preserve">or example, </w:t>
            </w:r>
            <w:r>
              <w:rPr>
                <w:rFonts w:hint="eastAsia"/>
                <w:lang w:val="en-US" w:eastAsia="zh-CN"/>
              </w:rPr>
              <w:t>it</w:t>
            </w:r>
            <w:r>
              <w:rPr>
                <w:lang w:val="en-US" w:eastAsia="zh-CN"/>
              </w:rPr>
              <w:t xml:space="preserve"> is difficult to completely solve the problem of hidden nodes</w:t>
            </w:r>
            <w:r>
              <w:rPr>
                <w:rFonts w:hint="eastAsia"/>
                <w:lang w:val="en-US" w:eastAsia="zh-CN"/>
              </w:rPr>
              <w:t xml:space="preserve"> only relying on LBT</w:t>
            </w:r>
            <w:r>
              <w:rPr>
                <w:lang w:val="en-US" w:eastAsia="zh-CN"/>
              </w:rPr>
              <w:t>.</w:t>
            </w:r>
          </w:p>
          <w:p w14:paraId="1645D417" w14:textId="77777777" w:rsidR="000F6FF0" w:rsidRDefault="002A3D49">
            <w:pPr>
              <w:snapToGrid w:val="0"/>
              <w:spacing w:beforeLines="50" w:before="120"/>
              <w:jc w:val="center"/>
            </w:pPr>
            <w:r>
              <w:rPr>
                <w:noProof/>
              </w:rPr>
              <w:drawing>
                <wp:inline distT="0" distB="0" distL="0" distR="0" wp14:anchorId="3C1ABEBE" wp14:editId="69145497">
                  <wp:extent cx="3064510" cy="2441575"/>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64510" cy="2441575"/>
                          </a:xfrm>
                          <a:prstGeom prst="rect">
                            <a:avLst/>
                          </a:prstGeom>
                          <a:noFill/>
                          <a:ln>
                            <a:noFill/>
                          </a:ln>
                        </pic:spPr>
                      </pic:pic>
                    </a:graphicData>
                  </a:graphic>
                </wp:inline>
              </w:drawing>
            </w:r>
          </w:p>
          <w:p w14:paraId="0FE646E8" w14:textId="77777777" w:rsidR="000F6FF0" w:rsidRDefault="002A3D49">
            <w:pPr>
              <w:snapToGrid w:val="0"/>
              <w:spacing w:beforeLines="50" w:before="120"/>
              <w:jc w:val="center"/>
              <w:rPr>
                <w:rFonts w:eastAsia="SimSun"/>
                <w:b/>
                <w:bCs/>
                <w:lang w:val="en-US" w:eastAsia="zh-CN"/>
              </w:rPr>
            </w:pPr>
            <w:r>
              <w:rPr>
                <w:rFonts w:eastAsia="SimSun" w:hint="eastAsia"/>
                <w:b/>
                <w:bCs/>
                <w:lang w:val="en-US" w:eastAsia="zh-CN"/>
              </w:rPr>
              <w:t>Figure 1. Hidden nodes problems in unlicensed spectrum</w:t>
            </w:r>
          </w:p>
          <w:p w14:paraId="103AEFE0" w14:textId="77777777" w:rsidR="000F6FF0" w:rsidRDefault="002A3D49">
            <w:pPr>
              <w:jc w:val="both"/>
              <w:rPr>
                <w:lang w:val="en-US" w:eastAsia="zh-CN"/>
              </w:rPr>
            </w:pPr>
            <w:r>
              <w:rPr>
                <w:lang w:val="en-US" w:eastAsia="zh-CN"/>
              </w:rPr>
              <w:t>For example, as shown in Figure 1, UE</w:t>
            </w:r>
            <w:r>
              <w:rPr>
                <w:rFonts w:hint="eastAsia"/>
                <w:lang w:eastAsia="zh-CN"/>
              </w:rPr>
              <w:t>2</w:t>
            </w:r>
            <w:r>
              <w:rPr>
                <w:rFonts w:hint="eastAsia"/>
                <w:lang w:val="en-US" w:eastAsia="zh-CN"/>
              </w:rPr>
              <w:t xml:space="preserve"> is transmitting </w:t>
            </w:r>
            <w:r>
              <w:rPr>
                <w:lang w:val="en-US" w:eastAsia="zh-CN"/>
              </w:rPr>
              <w:t>a UL burst</w:t>
            </w:r>
            <w:r>
              <w:rPr>
                <w:rFonts w:hint="eastAsia"/>
                <w:lang w:val="en-US" w:eastAsia="zh-CN"/>
              </w:rPr>
              <w:t xml:space="preserve"> to target </w:t>
            </w:r>
            <w:r>
              <w:rPr>
                <w:lang w:val="en-US" w:eastAsia="zh-CN"/>
              </w:rPr>
              <w:t>gNB</w:t>
            </w:r>
            <w:r>
              <w:rPr>
                <w:rFonts w:hint="eastAsia"/>
                <w:lang w:val="en-US" w:eastAsia="zh-CN"/>
              </w:rPr>
              <w:t xml:space="preserve">2 while gNB1 is performing </w:t>
            </w:r>
            <w:proofErr w:type="gramStart"/>
            <w:r>
              <w:rPr>
                <w:rFonts w:hint="eastAsia"/>
                <w:lang w:val="en-US" w:eastAsia="zh-CN"/>
              </w:rPr>
              <w:t>a</w:t>
            </w:r>
            <w:proofErr w:type="gramEnd"/>
            <w:r>
              <w:rPr>
                <w:rFonts w:hint="eastAsia"/>
                <w:lang w:val="en-US" w:eastAsia="zh-CN"/>
              </w:rPr>
              <w:t xml:space="preserve"> </w:t>
            </w:r>
            <w:r>
              <w:rPr>
                <w:lang w:val="en-US" w:eastAsia="zh-CN"/>
              </w:rPr>
              <w:t>LBT</w:t>
            </w:r>
            <w:r>
              <w:rPr>
                <w:rFonts w:hint="eastAsia"/>
                <w:lang w:val="en-US" w:eastAsia="zh-CN"/>
              </w:rPr>
              <w:t xml:space="preserve"> operation before sending a DL burst to UE1. gNB1 can not detect energy/signals from UE2, so it thinks that the current unlicensed carrier is idle and available, then transmits the DL burst to target UE1. However, UE2 will cause cross-link interference to the </w:t>
            </w:r>
            <w:proofErr w:type="gramStart"/>
            <w:r>
              <w:rPr>
                <w:rFonts w:hint="eastAsia"/>
                <w:lang w:val="en-US" w:eastAsia="zh-CN"/>
              </w:rPr>
              <w:t>DL  reception</w:t>
            </w:r>
            <w:proofErr w:type="gramEnd"/>
            <w:r>
              <w:rPr>
                <w:rFonts w:hint="eastAsia"/>
                <w:lang w:val="en-US" w:eastAsia="zh-CN"/>
              </w:rPr>
              <w:t xml:space="preserve"> of UE1. From this example, we can see that the hidden node problem in unlicensed spectrum will cause cross-link interference. Thus SRS-RSRP measurement and CLI-RSSI measurement designed for CLI mitigation in licensed spectrum can be introduced into unlicensed spectrum to mitigate cross-link interference, which can also facilitate flexible DL/UL scheduling. </w:t>
            </w:r>
          </w:p>
          <w:p w14:paraId="401123B1" w14:textId="77777777" w:rsidR="000F6FF0" w:rsidRDefault="002A3D49">
            <w:pPr>
              <w:jc w:val="both"/>
              <w:rPr>
                <w:lang w:val="en-US" w:eastAsia="zh-CN"/>
              </w:rPr>
            </w:pPr>
            <w:r>
              <w:rPr>
                <w:rFonts w:hint="eastAsia"/>
                <w:lang w:val="en-US" w:eastAsia="zh-CN"/>
              </w:rPr>
              <w:t xml:space="preserve">We do not see there is any difference between unlicensed spectrum and licensed spectrum if both of them support CLI measurement. Definition, configuration and procedure </w:t>
            </w:r>
            <w:proofErr w:type="gramStart"/>
            <w:r>
              <w:rPr>
                <w:rFonts w:hint="eastAsia"/>
                <w:lang w:val="en-US" w:eastAsia="zh-CN"/>
              </w:rPr>
              <w:t>of  the</w:t>
            </w:r>
            <w:proofErr w:type="gramEnd"/>
            <w:r>
              <w:rPr>
                <w:rFonts w:hint="eastAsia"/>
                <w:lang w:val="en-US" w:eastAsia="zh-CN"/>
              </w:rPr>
              <w:t xml:space="preserve"> existing SRS-RSRP measurement and CLI-RSSI measurement can be reused directly in unlicensed spectrum. For UE feature type, </w:t>
            </w:r>
            <w:r>
              <w:rPr>
                <w:lang w:val="en-US" w:eastAsia="zh-CN"/>
              </w:rPr>
              <w:t>“</w:t>
            </w:r>
            <w:r>
              <w:rPr>
                <w:rFonts w:hint="eastAsia"/>
                <w:lang w:val="en-US" w:eastAsia="zh-CN"/>
              </w:rPr>
              <w:t>Per UE</w:t>
            </w:r>
            <w:r>
              <w:rPr>
                <w:lang w:val="en-US" w:eastAsia="zh-CN"/>
              </w:rPr>
              <w:t>”</w:t>
            </w:r>
            <w:r>
              <w:rPr>
                <w:rFonts w:hint="eastAsia"/>
                <w:lang w:val="en-US" w:eastAsia="zh-CN"/>
              </w:rPr>
              <w:t xml:space="preserve"> can be maintained. But we are open to this issue if other companies have different views.</w:t>
            </w:r>
          </w:p>
          <w:p w14:paraId="6C93036E" w14:textId="77777777" w:rsidR="000F6FF0" w:rsidRDefault="002A3D49">
            <w:pPr>
              <w:spacing w:after="60" w:line="260" w:lineRule="auto"/>
              <w:jc w:val="both"/>
              <w:rPr>
                <w:rFonts w:eastAsia="SimSun"/>
                <w:b/>
                <w:bCs/>
                <w:lang w:val="en-US" w:eastAsia="zh-CN"/>
              </w:rPr>
            </w:pPr>
            <w:r>
              <w:rPr>
                <w:rFonts w:hint="eastAsia"/>
                <w:b/>
                <w:bCs/>
                <w:lang w:val="en-US" w:eastAsia="zh-CN"/>
              </w:rPr>
              <w:t>Proposal 1: SRS-RSRP measurement and CLI-RSSI measurement designed for CLI mitigation in licensed spectrum can be introduced into unlicensed spectrum</w:t>
            </w:r>
            <w:r>
              <w:rPr>
                <w:rFonts w:eastAsia="SimSun" w:hint="eastAsia"/>
                <w:b/>
                <w:bCs/>
                <w:lang w:val="en-US" w:eastAsia="zh-CN"/>
              </w:rPr>
              <w:t xml:space="preserve">. </w:t>
            </w:r>
          </w:p>
          <w:p w14:paraId="5EF793C3" w14:textId="77777777" w:rsidR="000F6FF0" w:rsidRDefault="002A3D49">
            <w:pPr>
              <w:numPr>
                <w:ilvl w:val="0"/>
                <w:numId w:val="13"/>
              </w:numPr>
              <w:ind w:left="840"/>
              <w:jc w:val="both"/>
              <w:rPr>
                <w:b/>
                <w:bCs/>
                <w:lang w:val="en-US" w:eastAsia="zh-CN"/>
              </w:rPr>
            </w:pPr>
            <w:r>
              <w:rPr>
                <w:rFonts w:hint="eastAsia"/>
                <w:b/>
                <w:bCs/>
                <w:lang w:val="en-US" w:eastAsia="zh-CN"/>
              </w:rPr>
              <w:lastRenderedPageBreak/>
              <w:t xml:space="preserve">If supporting above, </w:t>
            </w:r>
            <w:r>
              <w:rPr>
                <w:b/>
                <w:bCs/>
                <w:lang w:val="en-US" w:eastAsia="zh-CN"/>
              </w:rPr>
              <w:t>“</w:t>
            </w:r>
            <w:r>
              <w:rPr>
                <w:rFonts w:hint="eastAsia"/>
                <w:b/>
                <w:bCs/>
                <w:lang w:val="en-US" w:eastAsia="zh-CN"/>
              </w:rPr>
              <w:t>Per UE</w:t>
            </w:r>
            <w:r>
              <w:rPr>
                <w:b/>
                <w:bCs/>
                <w:lang w:val="en-US" w:eastAsia="zh-CN"/>
              </w:rPr>
              <w:t>”</w:t>
            </w:r>
            <w:r>
              <w:rPr>
                <w:rFonts w:hint="eastAsia"/>
                <w:b/>
                <w:bCs/>
                <w:lang w:val="en-US" w:eastAsia="zh-CN"/>
              </w:rPr>
              <w:t xml:space="preserve"> can be maintained for UE feature type. </w:t>
            </w:r>
          </w:p>
        </w:tc>
      </w:tr>
      <w:tr w:rsidR="000F6FF0" w14:paraId="6146963E" w14:textId="77777777">
        <w:tc>
          <w:tcPr>
            <w:tcW w:w="976" w:type="dxa"/>
          </w:tcPr>
          <w:p w14:paraId="3E6949D9" w14:textId="77777777" w:rsidR="000F6FF0" w:rsidRDefault="002A3D49">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21404" w:type="dxa"/>
          </w:tcPr>
          <w:p w14:paraId="6842D6EE" w14:textId="77777777" w:rsidR="000F6FF0" w:rsidRDefault="002A3D49">
            <w:pPr>
              <w:autoSpaceDE/>
              <w:autoSpaceDN/>
              <w:spacing w:before="60" w:line="360" w:lineRule="atLeast"/>
              <w:rPr>
                <w:rFonts w:eastAsiaTheme="minorEastAsia"/>
                <w:sz w:val="22"/>
                <w:szCs w:val="22"/>
              </w:rPr>
            </w:pPr>
            <w:r>
              <w:rPr>
                <w:rFonts w:eastAsiaTheme="minorEastAsia" w:hint="eastAsia"/>
                <w:sz w:val="22"/>
                <w:szCs w:val="22"/>
              </w:rPr>
              <w:t xml:space="preserve">The </w:t>
            </w:r>
            <w:r>
              <w:rPr>
                <w:rFonts w:eastAsiaTheme="minorEastAsia"/>
                <w:sz w:val="22"/>
                <w:szCs w:val="22"/>
              </w:rPr>
              <w:t xml:space="preserve">intention of </w:t>
            </w:r>
            <w:r>
              <w:rPr>
                <w:rFonts w:eastAsiaTheme="minorEastAsia" w:hint="eastAsia"/>
                <w:sz w:val="22"/>
                <w:szCs w:val="22"/>
              </w:rPr>
              <w:t>proposed note</w:t>
            </w:r>
            <w:r>
              <w:rPr>
                <w:rFonts w:eastAsiaTheme="minorEastAsia"/>
                <w:sz w:val="22"/>
                <w:szCs w:val="22"/>
              </w:rPr>
              <w:t>s</w:t>
            </w:r>
            <w:r>
              <w:rPr>
                <w:rFonts w:eastAsiaTheme="minorEastAsia" w:hint="eastAsia"/>
                <w:sz w:val="22"/>
                <w:szCs w:val="22"/>
              </w:rPr>
              <w:t xml:space="preserve"> in FG 17-3 and 17-4</w:t>
            </w:r>
            <w:r>
              <w:rPr>
                <w:rFonts w:eastAsiaTheme="minorEastAsia"/>
                <w:sz w:val="22"/>
                <w:szCs w:val="22"/>
              </w:rPr>
              <w:t xml:space="preserve"> is to reflect RAN4 assumption that UE shall prioritize CLI measurement in case DL signal/channel and CLI measurement resources are FDMed for UEs indicating the FDMed reception is not supported. </w:t>
            </w:r>
          </w:p>
          <w:p w14:paraId="673C6524" w14:textId="77777777" w:rsidR="000F6FF0" w:rsidRDefault="002A3D49">
            <w:pPr>
              <w:autoSpaceDE/>
              <w:autoSpaceDN/>
              <w:spacing w:before="60" w:line="360" w:lineRule="atLeast"/>
              <w:rPr>
                <w:rFonts w:eastAsiaTheme="minorEastAsia"/>
                <w:b/>
                <w:i/>
                <w:sz w:val="22"/>
                <w:szCs w:val="22"/>
              </w:rPr>
            </w:pPr>
            <w:r>
              <w:rPr>
                <w:rFonts w:eastAsiaTheme="minorEastAsia" w:hint="eastAsia"/>
                <w:b/>
                <w:i/>
                <w:sz w:val="22"/>
                <w:szCs w:val="22"/>
              </w:rPr>
              <w:t>Observation</w:t>
            </w:r>
            <w:r>
              <w:rPr>
                <w:rFonts w:eastAsiaTheme="minorEastAsia"/>
                <w:b/>
                <w:i/>
                <w:sz w:val="22"/>
                <w:szCs w:val="22"/>
              </w:rPr>
              <w:t xml:space="preserve"> 2</w:t>
            </w:r>
            <w:r>
              <w:rPr>
                <w:rFonts w:eastAsiaTheme="minorEastAsia" w:hint="eastAsia"/>
                <w:b/>
                <w:i/>
                <w:sz w:val="22"/>
                <w:szCs w:val="22"/>
              </w:rPr>
              <w:t xml:space="preserve">: </w:t>
            </w:r>
          </w:p>
          <w:p w14:paraId="1300F983" w14:textId="77777777" w:rsidR="000F6FF0" w:rsidRDefault="002A3D49">
            <w:pPr>
              <w:pStyle w:val="affb"/>
              <w:numPr>
                <w:ilvl w:val="0"/>
                <w:numId w:val="14"/>
              </w:numPr>
              <w:autoSpaceDE/>
              <w:autoSpaceDN/>
              <w:spacing w:before="60" w:line="360" w:lineRule="atLeast"/>
              <w:ind w:leftChars="0"/>
              <w:jc w:val="both"/>
              <w:rPr>
                <w:rFonts w:eastAsiaTheme="minorEastAsia"/>
                <w:sz w:val="22"/>
                <w:szCs w:val="22"/>
              </w:rPr>
            </w:pPr>
            <w:r>
              <w:rPr>
                <w:rFonts w:eastAsiaTheme="minorEastAsia" w:hint="eastAsia"/>
                <w:sz w:val="22"/>
                <w:szCs w:val="22"/>
              </w:rPr>
              <w:t>RAN4 clarified the conflicti</w:t>
            </w:r>
            <w:r>
              <w:rPr>
                <w:rFonts w:eastAsiaTheme="minorEastAsia"/>
                <w:sz w:val="22"/>
                <w:szCs w:val="22"/>
              </w:rPr>
              <w:t>on</w:t>
            </w:r>
            <w:r>
              <w:rPr>
                <w:rFonts w:eastAsiaTheme="minorEastAsia" w:hint="eastAsia"/>
                <w:sz w:val="22"/>
                <w:szCs w:val="22"/>
              </w:rPr>
              <w:t xml:space="preserve"> </w:t>
            </w:r>
            <w:r>
              <w:rPr>
                <w:rFonts w:eastAsiaTheme="minorEastAsia"/>
                <w:sz w:val="22"/>
                <w:szCs w:val="22"/>
              </w:rPr>
              <w:t xml:space="preserve">between </w:t>
            </w:r>
            <w:r>
              <w:rPr>
                <w:rFonts w:eastAsiaTheme="minorEastAsia" w:hint="eastAsia"/>
                <w:sz w:val="22"/>
                <w:szCs w:val="22"/>
              </w:rPr>
              <w:t xml:space="preserve">RAN2 agreement </w:t>
            </w:r>
            <w:r>
              <w:rPr>
                <w:rFonts w:eastAsiaTheme="minorEastAsia"/>
                <w:sz w:val="22"/>
                <w:szCs w:val="22"/>
              </w:rPr>
              <w:t>and</w:t>
            </w:r>
            <w:r>
              <w:rPr>
                <w:rFonts w:eastAsiaTheme="minorEastAsia" w:hint="eastAsia"/>
                <w:sz w:val="22"/>
                <w:szCs w:val="22"/>
              </w:rPr>
              <w:t xml:space="preserve"> RAN4 agreement.</w:t>
            </w:r>
          </w:p>
          <w:p w14:paraId="2770CB7E" w14:textId="77777777" w:rsidR="000F6FF0" w:rsidRDefault="002A3D49">
            <w:pPr>
              <w:pStyle w:val="affb"/>
              <w:numPr>
                <w:ilvl w:val="0"/>
                <w:numId w:val="14"/>
              </w:numPr>
              <w:autoSpaceDE/>
              <w:autoSpaceDN/>
              <w:spacing w:before="60" w:line="360" w:lineRule="atLeast"/>
              <w:ind w:leftChars="0"/>
              <w:jc w:val="both"/>
              <w:rPr>
                <w:rFonts w:eastAsiaTheme="minorEastAsia"/>
                <w:sz w:val="22"/>
                <w:szCs w:val="22"/>
              </w:rPr>
            </w:pPr>
            <w:r>
              <w:rPr>
                <w:rFonts w:eastAsiaTheme="minorEastAsia"/>
                <w:sz w:val="22"/>
                <w:szCs w:val="22"/>
              </w:rPr>
              <w:t>The notes for FG 17-3 and FG 17-4 reflect RAN4 assumption.</w:t>
            </w:r>
          </w:p>
          <w:p w14:paraId="2D3B5D64" w14:textId="77777777" w:rsidR="000F6FF0" w:rsidRDefault="002A3D49">
            <w:pPr>
              <w:spacing w:before="120" w:after="120"/>
              <w:ind w:left="285" w:hangingChars="129" w:hanging="285"/>
              <w:rPr>
                <w:sz w:val="22"/>
                <w:szCs w:val="22"/>
              </w:rPr>
            </w:pPr>
            <w:r>
              <w:rPr>
                <w:b/>
                <w:i/>
                <w:sz w:val="22"/>
                <w:szCs w:val="22"/>
              </w:rPr>
              <w:t>Proposal 1:</w:t>
            </w:r>
            <w:r>
              <w:rPr>
                <w:sz w:val="22"/>
                <w:szCs w:val="22"/>
              </w:rPr>
              <w:t xml:space="preserve"> Keep FG 17-3 and FG 17-4 with note</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974"/>
              <w:gridCol w:w="6232"/>
              <w:gridCol w:w="8412"/>
            </w:tblGrid>
            <w:tr w:rsidR="000F6FF0" w14:paraId="5363D6D7" w14:textId="77777777">
              <w:trPr>
                <w:trHeight w:val="20"/>
              </w:trPr>
              <w:tc>
                <w:tcPr>
                  <w:tcW w:w="1560" w:type="dxa"/>
                  <w:tcBorders>
                    <w:top w:val="single" w:sz="4" w:space="0" w:color="auto"/>
                    <w:left w:val="single" w:sz="4" w:space="0" w:color="auto"/>
                    <w:bottom w:val="single" w:sz="4" w:space="0" w:color="auto"/>
                    <w:right w:val="single" w:sz="4" w:space="0" w:color="auto"/>
                  </w:tcBorders>
                </w:tcPr>
                <w:p w14:paraId="597A9D25" w14:textId="77777777" w:rsidR="000F6FF0" w:rsidRDefault="002A3D49">
                  <w:pPr>
                    <w:rPr>
                      <w:rFonts w:ascii="Arial" w:eastAsia="ＭＳ 明朝" w:hAnsi="Arial"/>
                      <w:sz w:val="18"/>
                    </w:rPr>
                  </w:pPr>
                  <w:r>
                    <w:rPr>
                      <w:rFonts w:ascii="Arial" w:eastAsia="Times New Roman" w:hAnsi="Arial"/>
                      <w:b/>
                      <w:sz w:val="18"/>
                      <w:lang w:eastAsia="zh-CN"/>
                    </w:rPr>
                    <w:t>Index</w:t>
                  </w:r>
                </w:p>
              </w:tc>
              <w:tc>
                <w:tcPr>
                  <w:tcW w:w="4974" w:type="dxa"/>
                  <w:tcBorders>
                    <w:top w:val="single" w:sz="4" w:space="0" w:color="auto"/>
                    <w:left w:val="single" w:sz="4" w:space="0" w:color="auto"/>
                    <w:bottom w:val="single" w:sz="4" w:space="0" w:color="auto"/>
                    <w:right w:val="single" w:sz="4" w:space="0" w:color="auto"/>
                  </w:tcBorders>
                </w:tcPr>
                <w:p w14:paraId="4FEB69C9" w14:textId="77777777" w:rsidR="000F6FF0" w:rsidRDefault="002A3D49">
                  <w:pPr>
                    <w:rPr>
                      <w:rFonts w:ascii="Arial" w:eastAsia="ＭＳ 明朝" w:hAnsi="Arial"/>
                      <w:sz w:val="18"/>
                      <w:lang w:eastAsia="en-US"/>
                    </w:rPr>
                  </w:pPr>
                  <w:r>
                    <w:rPr>
                      <w:rFonts w:ascii="Arial" w:eastAsia="Times New Roman" w:hAnsi="Arial"/>
                      <w:b/>
                      <w:sz w:val="18"/>
                      <w:lang w:eastAsia="zh-CN"/>
                    </w:rPr>
                    <w:t>Feature group</w:t>
                  </w:r>
                </w:p>
              </w:tc>
              <w:tc>
                <w:tcPr>
                  <w:tcW w:w="6232" w:type="dxa"/>
                  <w:tcBorders>
                    <w:top w:val="single" w:sz="4" w:space="0" w:color="auto"/>
                    <w:left w:val="single" w:sz="4" w:space="0" w:color="auto"/>
                    <w:bottom w:val="single" w:sz="4" w:space="0" w:color="auto"/>
                    <w:right w:val="single" w:sz="4" w:space="0" w:color="auto"/>
                  </w:tcBorders>
                </w:tcPr>
                <w:p w14:paraId="15461997" w14:textId="77777777" w:rsidR="000F6FF0" w:rsidRDefault="002A3D49">
                  <w:pPr>
                    <w:rPr>
                      <w:rFonts w:ascii="Arial" w:eastAsia="ＭＳ 明朝" w:hAnsi="Arial"/>
                      <w:sz w:val="18"/>
                      <w:lang w:eastAsia="en-US"/>
                    </w:rPr>
                  </w:pPr>
                  <w:r>
                    <w:rPr>
                      <w:rFonts w:ascii="Arial" w:eastAsia="Times New Roman" w:hAnsi="Arial"/>
                      <w:b/>
                      <w:sz w:val="18"/>
                      <w:lang w:eastAsia="zh-CN"/>
                    </w:rPr>
                    <w:t>Components</w:t>
                  </w:r>
                </w:p>
              </w:tc>
              <w:tc>
                <w:tcPr>
                  <w:tcW w:w="8412" w:type="dxa"/>
                  <w:tcBorders>
                    <w:top w:val="single" w:sz="4" w:space="0" w:color="auto"/>
                    <w:left w:val="single" w:sz="4" w:space="0" w:color="auto"/>
                    <w:bottom w:val="single" w:sz="4" w:space="0" w:color="auto"/>
                    <w:right w:val="single" w:sz="4" w:space="0" w:color="auto"/>
                  </w:tcBorders>
                </w:tcPr>
                <w:p w14:paraId="3D5079F7" w14:textId="77777777" w:rsidR="000F6FF0" w:rsidRDefault="002A3D49">
                  <w:pPr>
                    <w:rPr>
                      <w:rFonts w:ascii="Arial" w:eastAsia="ＭＳ 明朝" w:hAnsi="Arial"/>
                      <w:sz w:val="18"/>
                      <w:lang w:eastAsia="en-US"/>
                    </w:rPr>
                  </w:pPr>
                  <w:r>
                    <w:rPr>
                      <w:rFonts w:ascii="Arial" w:eastAsia="Times New Roman" w:hAnsi="Arial"/>
                      <w:b/>
                      <w:sz w:val="18"/>
                      <w:lang w:eastAsia="zh-CN"/>
                    </w:rPr>
                    <w:t>Note</w:t>
                  </w:r>
                </w:p>
              </w:tc>
            </w:tr>
            <w:tr w:rsidR="000F6FF0" w14:paraId="2F6A03D6" w14:textId="77777777">
              <w:trPr>
                <w:trHeight w:val="20"/>
              </w:trPr>
              <w:tc>
                <w:tcPr>
                  <w:tcW w:w="1560" w:type="dxa"/>
                  <w:tcBorders>
                    <w:top w:val="single" w:sz="4" w:space="0" w:color="auto"/>
                    <w:left w:val="single" w:sz="4" w:space="0" w:color="auto"/>
                    <w:bottom w:val="single" w:sz="4" w:space="0" w:color="auto"/>
                    <w:right w:val="single" w:sz="4" w:space="0" w:color="auto"/>
                  </w:tcBorders>
                </w:tcPr>
                <w:p w14:paraId="3835D557" w14:textId="77777777" w:rsidR="000F6FF0" w:rsidRDefault="002A3D49">
                  <w:pPr>
                    <w:rPr>
                      <w:rFonts w:ascii="Arial" w:eastAsia="ＭＳ 明朝" w:hAnsi="Arial"/>
                      <w:sz w:val="18"/>
                    </w:rPr>
                  </w:pPr>
                  <w:r>
                    <w:rPr>
                      <w:rFonts w:ascii="Arial" w:eastAsia="ＭＳ 明朝" w:hAnsi="Arial"/>
                      <w:sz w:val="18"/>
                    </w:rPr>
                    <w:t>17-3</w:t>
                  </w:r>
                </w:p>
              </w:tc>
              <w:tc>
                <w:tcPr>
                  <w:tcW w:w="4974" w:type="dxa"/>
                  <w:tcBorders>
                    <w:top w:val="single" w:sz="4" w:space="0" w:color="auto"/>
                    <w:left w:val="single" w:sz="4" w:space="0" w:color="auto"/>
                    <w:bottom w:val="single" w:sz="4" w:space="0" w:color="auto"/>
                    <w:right w:val="single" w:sz="4" w:space="0" w:color="auto"/>
                  </w:tcBorders>
                </w:tcPr>
                <w:p w14:paraId="04463F47" w14:textId="77777777" w:rsidR="000F6FF0" w:rsidRDefault="002A3D49">
                  <w:pPr>
                    <w:rPr>
                      <w:rFonts w:ascii="Arial" w:eastAsia="ＭＳ 明朝" w:hAnsi="Arial"/>
                      <w:sz w:val="18"/>
                      <w:lang w:eastAsia="en-US"/>
                    </w:rPr>
                  </w:pPr>
                  <w:r>
                    <w:rPr>
                      <w:rFonts w:ascii="Arial" w:eastAsia="ＭＳ 明朝" w:hAnsi="Arial"/>
                      <w:sz w:val="18"/>
                      <w:lang w:eastAsia="en-US"/>
                    </w:rPr>
                    <w:t>Simultaneous reception of DL signals/channels and CLI-RSSI measurement resource</w:t>
                  </w:r>
                </w:p>
              </w:tc>
              <w:tc>
                <w:tcPr>
                  <w:tcW w:w="6232" w:type="dxa"/>
                  <w:tcBorders>
                    <w:top w:val="single" w:sz="4" w:space="0" w:color="auto"/>
                    <w:left w:val="single" w:sz="4" w:space="0" w:color="auto"/>
                    <w:bottom w:val="single" w:sz="4" w:space="0" w:color="auto"/>
                    <w:right w:val="single" w:sz="4" w:space="0" w:color="auto"/>
                  </w:tcBorders>
                </w:tcPr>
                <w:p w14:paraId="15F64403" w14:textId="77777777" w:rsidR="000F6FF0" w:rsidRDefault="002A3D49">
                  <w:pPr>
                    <w:rPr>
                      <w:rFonts w:ascii="Arial" w:eastAsia="ＭＳ 明朝" w:hAnsi="Arial"/>
                      <w:sz w:val="18"/>
                      <w:lang w:eastAsia="en-US"/>
                    </w:rPr>
                  </w:pPr>
                  <w:r>
                    <w:rPr>
                      <w:rFonts w:ascii="Arial" w:eastAsia="ＭＳ 明朝" w:hAnsi="Arial"/>
                      <w:sz w:val="18"/>
                      <w:lang w:eastAsia="en-US"/>
                    </w:rPr>
                    <w:t>Support simultaneous reception of DL signals/channels and CLI-RSSI measurement resource</w:t>
                  </w:r>
                </w:p>
              </w:tc>
              <w:tc>
                <w:tcPr>
                  <w:tcW w:w="8412" w:type="dxa"/>
                  <w:tcBorders>
                    <w:top w:val="single" w:sz="4" w:space="0" w:color="auto"/>
                    <w:left w:val="single" w:sz="4" w:space="0" w:color="auto"/>
                    <w:bottom w:val="single" w:sz="4" w:space="0" w:color="auto"/>
                    <w:right w:val="single" w:sz="4" w:space="0" w:color="auto"/>
                  </w:tcBorders>
                </w:tcPr>
                <w:p w14:paraId="239BE9EE" w14:textId="77777777" w:rsidR="000F6FF0" w:rsidRDefault="002A3D49">
                  <w:pPr>
                    <w:rPr>
                      <w:rFonts w:ascii="Arial" w:eastAsia="ＭＳ 明朝" w:hAnsi="Arial"/>
                      <w:sz w:val="18"/>
                      <w:lang w:eastAsia="en-US"/>
                    </w:rPr>
                  </w:pPr>
                  <w:r>
                    <w:rPr>
                      <w:rFonts w:ascii="Arial" w:eastAsia="ＭＳ 明朝" w:hAnsi="Arial"/>
                      <w:strike/>
                      <w:color w:val="FF0000"/>
                      <w:sz w:val="18"/>
                      <w:lang w:eastAsia="en-US"/>
                    </w:rPr>
                    <w:t>[</w:t>
                  </w:r>
                  <w:r>
                    <w:rPr>
                      <w:rFonts w:ascii="Arial" w:eastAsia="ＭＳ 明朝" w:hAnsi="Arial"/>
                      <w:sz w:val="18"/>
                      <w:lang w:eastAsia="en-US"/>
                    </w:rPr>
                    <w:t>UE shall prioritize CLI-RSSI measurement when simultaneous reception of DL signals/channels and CLI-RSSI measurement resource is not supported.</w:t>
                  </w:r>
                  <w:r>
                    <w:rPr>
                      <w:rFonts w:ascii="Arial" w:eastAsia="ＭＳ 明朝" w:hAnsi="Arial"/>
                      <w:strike/>
                      <w:color w:val="FF0000"/>
                      <w:sz w:val="18"/>
                      <w:lang w:eastAsia="en-US"/>
                    </w:rPr>
                    <w:t>]</w:t>
                  </w:r>
                </w:p>
              </w:tc>
            </w:tr>
            <w:tr w:rsidR="000F6FF0" w14:paraId="70941011" w14:textId="77777777">
              <w:trPr>
                <w:trHeight w:val="20"/>
              </w:trPr>
              <w:tc>
                <w:tcPr>
                  <w:tcW w:w="1560" w:type="dxa"/>
                  <w:tcBorders>
                    <w:top w:val="single" w:sz="4" w:space="0" w:color="auto"/>
                    <w:left w:val="single" w:sz="4" w:space="0" w:color="auto"/>
                    <w:bottom w:val="single" w:sz="4" w:space="0" w:color="auto"/>
                    <w:right w:val="single" w:sz="4" w:space="0" w:color="auto"/>
                  </w:tcBorders>
                </w:tcPr>
                <w:p w14:paraId="11220150" w14:textId="77777777" w:rsidR="000F6FF0" w:rsidRDefault="002A3D49">
                  <w:pPr>
                    <w:rPr>
                      <w:rFonts w:ascii="Arial" w:eastAsia="ＭＳ 明朝" w:hAnsi="Arial"/>
                      <w:sz w:val="18"/>
                    </w:rPr>
                  </w:pPr>
                  <w:r>
                    <w:rPr>
                      <w:rFonts w:ascii="Arial" w:eastAsia="ＭＳ 明朝" w:hAnsi="Arial"/>
                      <w:sz w:val="18"/>
                    </w:rPr>
                    <w:t>17-4</w:t>
                  </w:r>
                </w:p>
              </w:tc>
              <w:tc>
                <w:tcPr>
                  <w:tcW w:w="4974" w:type="dxa"/>
                  <w:tcBorders>
                    <w:top w:val="single" w:sz="4" w:space="0" w:color="auto"/>
                    <w:left w:val="single" w:sz="4" w:space="0" w:color="auto"/>
                    <w:bottom w:val="single" w:sz="4" w:space="0" w:color="auto"/>
                    <w:right w:val="single" w:sz="4" w:space="0" w:color="auto"/>
                  </w:tcBorders>
                </w:tcPr>
                <w:p w14:paraId="609901FF" w14:textId="77777777" w:rsidR="000F6FF0" w:rsidRDefault="002A3D49">
                  <w:pPr>
                    <w:rPr>
                      <w:rFonts w:ascii="Arial" w:eastAsia="ＭＳ 明朝" w:hAnsi="Arial"/>
                      <w:sz w:val="18"/>
                      <w:lang w:eastAsia="en-US"/>
                    </w:rPr>
                  </w:pPr>
                  <w:r>
                    <w:rPr>
                      <w:rFonts w:ascii="Arial" w:eastAsia="ＭＳ 明朝" w:hAnsi="Arial"/>
                      <w:sz w:val="18"/>
                      <w:lang w:eastAsia="en-US"/>
                    </w:rPr>
                    <w:t>Simultaneous reception of DL signals/channels and SRS-RSRP measurement resource</w:t>
                  </w:r>
                </w:p>
              </w:tc>
              <w:tc>
                <w:tcPr>
                  <w:tcW w:w="6232" w:type="dxa"/>
                  <w:tcBorders>
                    <w:top w:val="single" w:sz="4" w:space="0" w:color="auto"/>
                    <w:left w:val="single" w:sz="4" w:space="0" w:color="auto"/>
                    <w:bottom w:val="single" w:sz="4" w:space="0" w:color="auto"/>
                    <w:right w:val="single" w:sz="4" w:space="0" w:color="auto"/>
                  </w:tcBorders>
                </w:tcPr>
                <w:p w14:paraId="68EE8CB8" w14:textId="77777777" w:rsidR="000F6FF0" w:rsidRDefault="002A3D49">
                  <w:pPr>
                    <w:rPr>
                      <w:rFonts w:ascii="Arial" w:eastAsia="ＭＳ 明朝" w:hAnsi="Arial"/>
                      <w:sz w:val="18"/>
                      <w:lang w:eastAsia="en-US"/>
                    </w:rPr>
                  </w:pPr>
                  <w:r>
                    <w:rPr>
                      <w:rFonts w:ascii="Arial" w:eastAsia="ＭＳ 明朝" w:hAnsi="Arial"/>
                      <w:sz w:val="18"/>
                      <w:lang w:eastAsia="en-US"/>
                    </w:rPr>
                    <w:t>Support simultaneous reception of DL signals/channels and SRS-RSRP measurement resource</w:t>
                  </w:r>
                </w:p>
              </w:tc>
              <w:tc>
                <w:tcPr>
                  <w:tcW w:w="8412" w:type="dxa"/>
                  <w:tcBorders>
                    <w:top w:val="single" w:sz="4" w:space="0" w:color="auto"/>
                    <w:left w:val="single" w:sz="4" w:space="0" w:color="auto"/>
                    <w:bottom w:val="single" w:sz="4" w:space="0" w:color="auto"/>
                    <w:right w:val="single" w:sz="4" w:space="0" w:color="auto"/>
                  </w:tcBorders>
                </w:tcPr>
                <w:p w14:paraId="22995D11" w14:textId="77777777" w:rsidR="000F6FF0" w:rsidRDefault="002A3D49">
                  <w:pPr>
                    <w:rPr>
                      <w:rFonts w:ascii="Arial" w:eastAsia="ＭＳ 明朝" w:hAnsi="Arial"/>
                      <w:sz w:val="18"/>
                      <w:lang w:eastAsia="en-US"/>
                    </w:rPr>
                  </w:pPr>
                  <w:r>
                    <w:rPr>
                      <w:rFonts w:ascii="Arial" w:eastAsia="ＭＳ 明朝" w:hAnsi="Arial"/>
                      <w:strike/>
                      <w:color w:val="FF0000"/>
                      <w:sz w:val="18"/>
                      <w:lang w:eastAsia="en-US"/>
                    </w:rPr>
                    <w:t>[</w:t>
                  </w:r>
                  <w:r>
                    <w:rPr>
                      <w:rFonts w:ascii="Arial" w:eastAsia="ＭＳ 明朝" w:hAnsi="Arial"/>
                      <w:sz w:val="18"/>
                      <w:lang w:eastAsia="en-US"/>
                    </w:rPr>
                    <w:t>UE shall prioritize SRS-RSRP measurement when simultaneous reception of DL signals/channels and SRS-RSRP measurement resource is not supported.</w:t>
                  </w:r>
                  <w:r>
                    <w:rPr>
                      <w:rFonts w:ascii="Arial" w:eastAsia="ＭＳ 明朝" w:hAnsi="Arial"/>
                      <w:strike/>
                      <w:color w:val="FF0000"/>
                      <w:sz w:val="18"/>
                      <w:lang w:eastAsia="en-US"/>
                    </w:rPr>
                    <w:t>]</w:t>
                  </w:r>
                </w:p>
              </w:tc>
            </w:tr>
          </w:tbl>
          <w:p w14:paraId="7B395389" w14:textId="77777777" w:rsidR="000F6FF0" w:rsidRDefault="000F6FF0">
            <w:pPr>
              <w:spacing w:afterLines="50" w:after="120"/>
              <w:jc w:val="both"/>
              <w:rPr>
                <w:rFonts w:eastAsia="ＭＳ 明朝"/>
                <w:sz w:val="22"/>
              </w:rPr>
            </w:pPr>
          </w:p>
        </w:tc>
      </w:tr>
      <w:tr w:rsidR="000F6FF0" w14:paraId="34FFED2C" w14:textId="77777777">
        <w:tc>
          <w:tcPr>
            <w:tcW w:w="976" w:type="dxa"/>
          </w:tcPr>
          <w:p w14:paraId="6BFEC2E1" w14:textId="77777777" w:rsidR="000F6FF0" w:rsidRDefault="002A3D49">
            <w:pPr>
              <w:spacing w:afterLines="50" w:after="120"/>
              <w:jc w:val="both"/>
              <w:rPr>
                <w:rFonts w:eastAsia="ＭＳ 明朝"/>
                <w:sz w:val="22"/>
              </w:rPr>
            </w:pPr>
            <w:r>
              <w:rPr>
                <w:rFonts w:eastAsia="ＭＳ 明朝" w:hint="eastAsia"/>
                <w:sz w:val="22"/>
              </w:rPr>
              <w:t>[</w:t>
            </w:r>
            <w:r>
              <w:rPr>
                <w:rFonts w:eastAsia="ＭＳ 明朝"/>
                <w:sz w:val="22"/>
              </w:rPr>
              <w:t>4]</w:t>
            </w:r>
          </w:p>
        </w:tc>
        <w:tc>
          <w:tcPr>
            <w:tcW w:w="21404" w:type="dxa"/>
          </w:tcPr>
          <w:p w14:paraId="27872355" w14:textId="77777777" w:rsidR="000F6FF0" w:rsidRDefault="002A3D49">
            <w:pPr>
              <w:rPr>
                <w:lang w:eastAsia="zh-CN"/>
              </w:rPr>
            </w:pPr>
            <w:r>
              <w:rPr>
                <w:lang w:eastAsia="zh-CN"/>
              </w:rPr>
              <w:t xml:space="preserve">It is FFS regarding licensed and unlicensed spectrum differentiation. However, in the past discussion of CLI, there is no discussion regarding the unlicensed spectrum. Furthermore, unlicensed spectrum has different transmission mechanism, thus, the CLI feature cannot be assumed as applicable to unlicensed spectrum. In our view, CLI on unlicensed spectrum is not supported in Rel-16. </w:t>
            </w:r>
          </w:p>
          <w:p w14:paraId="06633572" w14:textId="77777777" w:rsidR="000F6FF0" w:rsidRDefault="002A3D49">
            <w:pPr>
              <w:rPr>
                <w:lang w:eastAsia="zh-CN"/>
              </w:rPr>
            </w:pPr>
            <w:r>
              <w:rPr>
                <w:b/>
                <w:i/>
                <w:u w:val="single"/>
                <w:lang w:eastAsia="zh-CN"/>
              </w:rPr>
              <w:t>Proposal 1:</w:t>
            </w:r>
            <w:r>
              <w:rPr>
                <w:lang w:eastAsia="zh-CN"/>
              </w:rPr>
              <w:t xml:space="preserve"> CLI on unlicensed spectrum is not supported in Rel-16.</w:t>
            </w:r>
          </w:p>
          <w:p w14:paraId="2706076B" w14:textId="77777777" w:rsidR="000F6FF0" w:rsidRDefault="002A3D49">
            <w:pPr>
              <w:rPr>
                <w:rFonts w:eastAsiaTheme="minorEastAsia"/>
                <w:lang w:eastAsia="zh-CN"/>
              </w:rPr>
            </w:pPr>
            <w:r>
              <w:rPr>
                <w:lang w:eastAsia="zh-CN"/>
              </w:rPr>
              <w:t>Secondly, s</w:t>
            </w:r>
            <w:r>
              <w:rPr>
                <w:rFonts w:eastAsiaTheme="minorEastAsia" w:hint="eastAsia"/>
                <w:lang w:eastAsia="zh-CN"/>
              </w:rPr>
              <w:t>i</w:t>
            </w:r>
            <w:r>
              <w:rPr>
                <w:rFonts w:eastAsiaTheme="minorEastAsia"/>
                <w:lang w:eastAsia="zh-CN"/>
              </w:rPr>
              <w:t>nce 17-3 and 17-4 are to be introduced, instead of a note in 17-3/4, the content of R1-2001523 should be captured in both 17-1 and 17-2 as part of component 1, making them more self-contained, e.g. add “UE shall prioritize the DL receiving in case DL signal/channel and CLI RSSI resources are FDMed” in component 1 in 17-1 and add  “UE shall prioritize the DL receiving in case DL signal/channel and SRS-RSRP resources are FDMed” in 17-2. And remove the corresponding part from FG17-3 and FG17-4.</w:t>
            </w:r>
          </w:p>
          <w:p w14:paraId="2D5765C5" w14:textId="77777777" w:rsidR="000F6FF0" w:rsidRDefault="002A3D49">
            <w:pPr>
              <w:rPr>
                <w:lang w:eastAsia="zh-CN"/>
              </w:rPr>
            </w:pPr>
            <w:r>
              <w:rPr>
                <w:b/>
                <w:i/>
                <w:u w:val="single"/>
                <w:lang w:eastAsia="zh-CN"/>
              </w:rPr>
              <w:t>Proposal 2:</w:t>
            </w:r>
            <w:r>
              <w:rPr>
                <w:lang w:eastAsia="zh-CN"/>
              </w:rPr>
              <w:t xml:space="preserve"> </w:t>
            </w:r>
          </w:p>
          <w:p w14:paraId="0CE7FE80" w14:textId="77777777" w:rsidR="000F6FF0" w:rsidRDefault="002A3D49">
            <w:pPr>
              <w:pStyle w:val="affb"/>
              <w:numPr>
                <w:ilvl w:val="0"/>
                <w:numId w:val="15"/>
              </w:numPr>
              <w:ind w:leftChars="0"/>
              <w:rPr>
                <w:rFonts w:eastAsiaTheme="minorEastAsia"/>
                <w:lang w:eastAsia="zh-CN"/>
              </w:rPr>
            </w:pPr>
            <w:r>
              <w:rPr>
                <w:rFonts w:eastAsiaTheme="minorEastAsia"/>
                <w:sz w:val="22"/>
                <w:lang w:eastAsia="zh-CN"/>
              </w:rPr>
              <w:t xml:space="preserve">FG 17-1: add “UE shall prioritize the DL receiving in case DL signal/channel and CLI RSSI resources are FDMed” in component 1 in both 17-1. </w:t>
            </w:r>
          </w:p>
          <w:p w14:paraId="3B1B365D" w14:textId="77777777" w:rsidR="000F6FF0" w:rsidRDefault="002A3D49">
            <w:pPr>
              <w:pStyle w:val="affb"/>
              <w:numPr>
                <w:ilvl w:val="0"/>
                <w:numId w:val="15"/>
              </w:numPr>
              <w:ind w:leftChars="0"/>
              <w:rPr>
                <w:rFonts w:eastAsiaTheme="minorEastAsia"/>
                <w:lang w:eastAsia="zh-CN"/>
              </w:rPr>
            </w:pPr>
            <w:r>
              <w:rPr>
                <w:rFonts w:eastAsiaTheme="minorEastAsia"/>
                <w:sz w:val="22"/>
                <w:lang w:eastAsia="zh-CN"/>
              </w:rPr>
              <w:t>FG 17-2: add “UE shall prioritize the DL receiving in case DL signal/channel and SRS-RSRP resources are FDMed” in component 1 in both 17-2.</w:t>
            </w:r>
          </w:p>
          <w:p w14:paraId="1E015AAA" w14:textId="77777777" w:rsidR="000F6FF0" w:rsidRDefault="002A3D49">
            <w:pPr>
              <w:pStyle w:val="affb"/>
              <w:numPr>
                <w:ilvl w:val="0"/>
                <w:numId w:val="15"/>
              </w:numPr>
              <w:ind w:leftChars="0"/>
              <w:rPr>
                <w:rFonts w:eastAsiaTheme="minorEastAsia"/>
                <w:lang w:eastAsia="zh-CN"/>
              </w:rPr>
            </w:pPr>
            <w:r>
              <w:rPr>
                <w:rFonts w:eastAsiaTheme="minorEastAsia"/>
                <w:sz w:val="22"/>
                <w:lang w:eastAsia="zh-CN"/>
              </w:rPr>
              <w:t>FG 17-3/4: remove the corresponding notes from FG17-3 and FG17-4.</w:t>
            </w:r>
          </w:p>
        </w:tc>
      </w:tr>
      <w:tr w:rsidR="000F6FF0" w14:paraId="5A7B0EEA" w14:textId="77777777">
        <w:tc>
          <w:tcPr>
            <w:tcW w:w="976" w:type="dxa"/>
          </w:tcPr>
          <w:p w14:paraId="593A7A6A" w14:textId="77777777" w:rsidR="000F6FF0" w:rsidRDefault="002A3D49">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33770EA6" w14:textId="77777777" w:rsidR="000F6FF0" w:rsidRDefault="002A3D49">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licensed/unlicensed differentiation, we have no strong view on the necessity of the differentiation. However, if it is identified that the differentiation is necessary, we prefer to change the reporting type to “per band” rather than introducing “licensed/unlicensed differentiation” like new differentiation column. Applying “per band” reporting is much simpler and has quite smaller impact to RAN2 compared with the case of introducing “licensed/unlicensed differentiation”.</w:t>
            </w:r>
          </w:p>
          <w:p w14:paraId="7979BD7C" w14:textId="77777777" w:rsidR="000F6FF0" w:rsidRDefault="002A3D49">
            <w:pPr>
              <w:rPr>
                <w:rFonts w:eastAsia="ＭＳ 明朝" w:cs="Batang"/>
                <w:b/>
                <w:bCs/>
                <w:sz w:val="22"/>
                <w:szCs w:val="22"/>
                <w:lang w:val="en-US"/>
              </w:rPr>
            </w:pPr>
            <w:r>
              <w:rPr>
                <w:rFonts w:eastAsia="ＭＳ 明朝" w:cs="Batang" w:hint="eastAsia"/>
                <w:b/>
                <w:bCs/>
                <w:sz w:val="22"/>
                <w:szCs w:val="22"/>
                <w:lang w:val="en-US"/>
              </w:rPr>
              <w:t>P</w:t>
            </w:r>
            <w:r>
              <w:rPr>
                <w:rFonts w:eastAsia="ＭＳ 明朝" w:cs="Batang"/>
                <w:b/>
                <w:bCs/>
                <w:sz w:val="22"/>
                <w:szCs w:val="22"/>
                <w:lang w:val="en-US"/>
              </w:rPr>
              <w:t>roposal 1: If it is identified that licensed/unlicensed differentiation is necessary for FG17-1/2, the reporting type of FG17-1/2 is changed to “per band”.</w:t>
            </w:r>
          </w:p>
          <w:p w14:paraId="4E672D51" w14:textId="77777777" w:rsidR="000F6FF0" w:rsidRDefault="000F6FF0">
            <w:pPr>
              <w:rPr>
                <w:rFonts w:eastAsia="ＭＳ 明朝" w:cs="Batang"/>
                <w:b/>
                <w:bCs/>
                <w:sz w:val="22"/>
                <w:szCs w:val="22"/>
                <w:lang w:val="en-US"/>
              </w:rPr>
            </w:pPr>
          </w:p>
          <w:p w14:paraId="67424C39" w14:textId="77777777" w:rsidR="000F6FF0" w:rsidRDefault="002A3D49">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 xml:space="preserve">egarding the note in FG17-3/4, based on RAN4 LS [3] and RAN2 discussion at the last RAN2 meeting [4], we could confirm that UE shall prioritize CLI measurements when the UE indicates FG17-3/4 as not supported. Therefore, the note is correct and brackets can be removed. We are also fine to copy the same note in components or note column for FG17-1/2. </w:t>
            </w:r>
          </w:p>
          <w:p w14:paraId="757311B4" w14:textId="77777777" w:rsidR="000F6FF0" w:rsidRDefault="002A3D49">
            <w:pPr>
              <w:rPr>
                <w:rFonts w:eastAsia="ＭＳ 明朝" w:cs="Batang"/>
                <w:b/>
                <w:bCs/>
                <w:sz w:val="22"/>
                <w:szCs w:val="22"/>
                <w:lang w:val="en-US"/>
              </w:rPr>
            </w:pPr>
            <w:r>
              <w:rPr>
                <w:rFonts w:eastAsia="ＭＳ 明朝" w:cs="Batang" w:hint="eastAsia"/>
                <w:b/>
                <w:bCs/>
                <w:sz w:val="22"/>
                <w:szCs w:val="22"/>
                <w:lang w:val="en-US"/>
              </w:rPr>
              <w:t>P</w:t>
            </w:r>
            <w:r>
              <w:rPr>
                <w:rFonts w:eastAsia="ＭＳ 明朝" w:cs="Batang"/>
                <w:b/>
                <w:bCs/>
                <w:sz w:val="22"/>
                <w:szCs w:val="22"/>
                <w:lang w:val="en-US"/>
              </w:rPr>
              <w:t>roposal 2: The note in FG17-3/4 is kept (i.e., brackets are removed).</w:t>
            </w:r>
          </w:p>
        </w:tc>
      </w:tr>
      <w:tr w:rsidR="000F6FF0" w14:paraId="41FADC88" w14:textId="77777777">
        <w:tc>
          <w:tcPr>
            <w:tcW w:w="976" w:type="dxa"/>
          </w:tcPr>
          <w:p w14:paraId="3DF80FD5" w14:textId="77777777" w:rsidR="000F6FF0" w:rsidRDefault="002A3D49">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70843CA3" w14:textId="77777777" w:rsidR="000F6FF0" w:rsidRDefault="002A3D49">
            <w:r>
              <w:t>For FGs 17-1/2</w:t>
            </w:r>
          </w:p>
          <w:p w14:paraId="1C172663" w14:textId="77777777" w:rsidR="000F6FF0" w:rsidRDefault="002A3D49">
            <w:pPr>
              <w:pStyle w:val="affb"/>
              <w:numPr>
                <w:ilvl w:val="0"/>
                <w:numId w:val="16"/>
              </w:numPr>
              <w:ind w:leftChars="0"/>
            </w:pPr>
            <w:r>
              <w:t>Regariding the differentiation of licneced and unlincend support of CLI, the FGs s</w:t>
            </w:r>
            <w:r>
              <w:rPr>
                <w:rFonts w:hint="eastAsia"/>
              </w:rPr>
              <w:t xml:space="preserve">hould be </w:t>
            </w:r>
            <w:r>
              <w:t>‘</w:t>
            </w:r>
            <w:r>
              <w:rPr>
                <w:rFonts w:hint="eastAsia"/>
              </w:rPr>
              <w:t>per band</w:t>
            </w:r>
            <w:r>
              <w:t>’.</w:t>
            </w:r>
            <w:r>
              <w:rPr>
                <w:rFonts w:hint="eastAsia"/>
              </w:rPr>
              <w:t xml:space="preserve"> </w:t>
            </w:r>
            <w:r>
              <w:t>I</w:t>
            </w:r>
            <w:r>
              <w:rPr>
                <w:rFonts w:hint="eastAsia"/>
              </w:rPr>
              <w:t>t is unlikely that the</w:t>
            </w:r>
            <w:r>
              <w:t xml:space="preserve"> CLI </w:t>
            </w:r>
            <w:r>
              <w:rPr>
                <w:rFonts w:hint="eastAsia"/>
              </w:rPr>
              <w:t>feature would be introduced at the same time for licensed and unlicensed, while IODT differentiation is necessary. Per band signaling enables deployment in unlicensed without being tested in licensed and vice versa</w:t>
            </w:r>
            <w:r>
              <w:t>.</w:t>
            </w:r>
          </w:p>
          <w:p w14:paraId="3F287078" w14:textId="77777777" w:rsidR="000F6FF0" w:rsidRDefault="000F6FF0">
            <w:pPr>
              <w:spacing w:afterLines="50" w:after="120"/>
              <w:jc w:val="both"/>
              <w:rPr>
                <w:rFonts w:eastAsia="ＭＳ 明朝"/>
                <w:sz w:val="22"/>
              </w:rPr>
            </w:pPr>
          </w:p>
          <w:p w14:paraId="0D6F7088" w14:textId="77777777" w:rsidR="000F6FF0" w:rsidRDefault="002A3D49">
            <w:r>
              <w:lastRenderedPageBreak/>
              <w:t>For FGs 17-3/4</w:t>
            </w:r>
          </w:p>
          <w:p w14:paraId="073CC915" w14:textId="77777777" w:rsidR="000F6FF0" w:rsidRDefault="002A3D49">
            <w:pPr>
              <w:pStyle w:val="affb"/>
              <w:numPr>
                <w:ilvl w:val="0"/>
                <w:numId w:val="16"/>
              </w:numPr>
              <w:ind w:leftChars="0"/>
            </w:pPr>
            <w:r>
              <w:t>We support to keep FG 17-3 and FG 17-4, given that the conflict between RAN2 and RAN4 agreeemnts have been resolved by RAN2 reverting their agreements of prioritizing serving cell channel/signal when it collides with CLI measurement resource. The notes in FGs 17-3 and 17-4 have reflected RAN4 agreements.</w:t>
            </w:r>
          </w:p>
        </w:tc>
      </w:tr>
      <w:tr w:rsidR="000F6FF0" w14:paraId="0EADEAF8" w14:textId="77777777">
        <w:tc>
          <w:tcPr>
            <w:tcW w:w="976" w:type="dxa"/>
          </w:tcPr>
          <w:p w14:paraId="4FEB2632" w14:textId="77777777" w:rsidR="000F6FF0" w:rsidRDefault="002A3D49">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21404" w:type="dxa"/>
          </w:tcPr>
          <w:p w14:paraId="0B252F5F" w14:textId="77777777" w:rsidR="000F6FF0" w:rsidRDefault="002A3D49">
            <w:pPr>
              <w:pStyle w:val="ae"/>
            </w:pPr>
            <w:r>
              <w:t xml:space="preserve">The definitions of 17-3 and 17-4 are in our opinion fine and the notes can be kept. </w:t>
            </w:r>
          </w:p>
          <w:p w14:paraId="2C9715DF" w14:textId="77777777" w:rsidR="000F6FF0" w:rsidRDefault="002A3D49">
            <w:pPr>
              <w:pStyle w:val="Proposal"/>
            </w:pPr>
            <w:bookmarkStart w:id="9" w:name="_Toc40475244"/>
            <w:r>
              <w:t>Add FG 17-3 and 17-4 as defined</w:t>
            </w:r>
            <w:bookmarkEnd w:id="9"/>
          </w:p>
          <w:p w14:paraId="3B2ED4FE" w14:textId="77777777" w:rsidR="000F6FF0" w:rsidRDefault="002A3D49">
            <w:pPr>
              <w:pStyle w:val="ae"/>
            </w:pPr>
            <w:r>
              <w:t>As for the applicability of FG 17-1 and 17-2 to unlicensed spectrum, it should be noted that a separate RSSI measurement has already been defined for unlicensed.</w:t>
            </w:r>
          </w:p>
        </w:tc>
      </w:tr>
    </w:tbl>
    <w:p w14:paraId="411BE5A4" w14:textId="77777777" w:rsidR="000F6FF0" w:rsidRDefault="000F6FF0">
      <w:pPr>
        <w:rPr>
          <w:rFonts w:ascii="Arial" w:eastAsia="ＭＳ 明朝" w:hAnsi="Arial"/>
          <w:sz w:val="32"/>
          <w:szCs w:val="32"/>
        </w:rPr>
      </w:pPr>
    </w:p>
    <w:p w14:paraId="66458B3C" w14:textId="77777777" w:rsidR="000F6FF0" w:rsidRDefault="000F6FF0">
      <w:pPr>
        <w:rPr>
          <w:rFonts w:ascii="Arial" w:eastAsia="Batang" w:hAnsi="Arial"/>
          <w:sz w:val="32"/>
          <w:szCs w:val="32"/>
          <w:lang w:val="en-US" w:eastAsia="ko-KR"/>
        </w:rPr>
      </w:pPr>
    </w:p>
    <w:p w14:paraId="14FB61A7" w14:textId="77777777" w:rsidR="000F6FF0" w:rsidRDefault="002A3D4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0ADE09E1" w14:textId="77777777" w:rsidR="000F6FF0" w:rsidRDefault="002A3D49">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R1-2003203</w:t>
      </w:r>
      <w:r>
        <w:rPr>
          <w:rFonts w:eastAsia="ＭＳ 明朝"/>
          <w:sz w:val="22"/>
        </w:rPr>
        <w:tab/>
        <w:t>Summary on email discussion [100b-e-NR-UEFeatures-Remaining] NR_CLI_RIM</w:t>
      </w:r>
      <w:r>
        <w:rPr>
          <w:rFonts w:eastAsia="ＭＳ 明朝"/>
          <w:sz w:val="22"/>
        </w:rPr>
        <w:tab/>
        <w:t>Moderator (NTT DOCOMO, INC.)</w:t>
      </w:r>
    </w:p>
    <w:p w14:paraId="032DB7C9" w14:textId="77777777" w:rsidR="000F6FF0" w:rsidRDefault="002A3D49">
      <w:pPr>
        <w:spacing w:afterLines="50" w:after="120"/>
        <w:jc w:val="both"/>
        <w:rPr>
          <w:rFonts w:eastAsia="ＭＳ 明朝"/>
          <w:sz w:val="22"/>
        </w:rPr>
      </w:pPr>
      <w:r>
        <w:rPr>
          <w:rFonts w:eastAsia="ＭＳ 明朝"/>
          <w:sz w:val="22"/>
        </w:rPr>
        <w:t>[2]</w:t>
      </w:r>
      <w:r>
        <w:rPr>
          <w:rFonts w:eastAsia="ＭＳ 明朝"/>
          <w:sz w:val="22"/>
        </w:rPr>
        <w:tab/>
        <w:t>R1-2003491</w:t>
      </w:r>
      <w:r>
        <w:rPr>
          <w:rFonts w:eastAsia="ＭＳ 明朝"/>
          <w:sz w:val="22"/>
        </w:rPr>
        <w:tab/>
        <w:t>Discussion on UE feature for CLI</w:t>
      </w:r>
      <w:r>
        <w:rPr>
          <w:rFonts w:eastAsia="ＭＳ 明朝"/>
          <w:sz w:val="22"/>
        </w:rPr>
        <w:tab/>
        <w:t>ZTE</w:t>
      </w:r>
    </w:p>
    <w:p w14:paraId="0BF05298" w14:textId="77777777" w:rsidR="000F6FF0" w:rsidRDefault="002A3D49">
      <w:pPr>
        <w:spacing w:afterLines="50" w:after="120"/>
        <w:jc w:val="both"/>
        <w:rPr>
          <w:rFonts w:eastAsia="ＭＳ 明朝"/>
          <w:sz w:val="22"/>
        </w:rPr>
      </w:pPr>
      <w:r>
        <w:rPr>
          <w:rFonts w:eastAsia="ＭＳ 明朝"/>
          <w:sz w:val="22"/>
        </w:rPr>
        <w:t>[3]</w:t>
      </w:r>
      <w:r>
        <w:rPr>
          <w:rFonts w:eastAsia="ＭＳ 明朝"/>
          <w:sz w:val="22"/>
        </w:rPr>
        <w:tab/>
        <w:t>R1-2004140</w:t>
      </w:r>
      <w:r>
        <w:rPr>
          <w:rFonts w:eastAsia="ＭＳ 明朝"/>
          <w:sz w:val="22"/>
        </w:rPr>
        <w:tab/>
        <w:t>Discussion on UE features for NR CLIRIM</w:t>
      </w:r>
      <w:r>
        <w:rPr>
          <w:rFonts w:eastAsia="ＭＳ 明朝"/>
          <w:sz w:val="22"/>
        </w:rPr>
        <w:tab/>
        <w:t>LG Electronics</w:t>
      </w:r>
    </w:p>
    <w:p w14:paraId="1D9D4A05" w14:textId="77777777" w:rsidR="000F6FF0" w:rsidRDefault="002A3D49">
      <w:pPr>
        <w:spacing w:afterLines="50" w:after="120"/>
        <w:jc w:val="both"/>
        <w:rPr>
          <w:rFonts w:eastAsia="ＭＳ 明朝"/>
          <w:sz w:val="22"/>
        </w:rPr>
      </w:pPr>
      <w:r>
        <w:rPr>
          <w:rFonts w:eastAsia="ＭＳ 明朝"/>
          <w:sz w:val="22"/>
        </w:rPr>
        <w:t>[4]</w:t>
      </w:r>
      <w:r>
        <w:rPr>
          <w:rFonts w:eastAsia="ＭＳ 明朝"/>
          <w:sz w:val="22"/>
        </w:rPr>
        <w:tab/>
        <w:t>R1-2004145</w:t>
      </w:r>
      <w:r>
        <w:rPr>
          <w:rFonts w:eastAsia="ＭＳ 明朝"/>
          <w:sz w:val="22"/>
        </w:rPr>
        <w:tab/>
        <w:t>Rel-16 UE features for CLI/RIM</w:t>
      </w:r>
      <w:r>
        <w:rPr>
          <w:rFonts w:eastAsia="ＭＳ 明朝"/>
          <w:sz w:val="22"/>
        </w:rPr>
        <w:tab/>
        <w:t>Huawei, HiSilicon</w:t>
      </w:r>
    </w:p>
    <w:p w14:paraId="362D6026" w14:textId="77777777" w:rsidR="000F6FF0" w:rsidRDefault="002A3D49">
      <w:pPr>
        <w:spacing w:afterLines="50" w:after="120"/>
        <w:jc w:val="both"/>
        <w:rPr>
          <w:rFonts w:eastAsia="ＭＳ 明朝"/>
          <w:sz w:val="22"/>
        </w:rPr>
      </w:pPr>
      <w:r>
        <w:rPr>
          <w:rFonts w:eastAsia="ＭＳ 明朝"/>
          <w:sz w:val="22"/>
        </w:rPr>
        <w:t>[5]</w:t>
      </w:r>
      <w:r>
        <w:rPr>
          <w:rFonts w:eastAsia="ＭＳ 明朝"/>
          <w:sz w:val="22"/>
        </w:rPr>
        <w:tab/>
        <w:t>R1-2004411</w:t>
      </w:r>
      <w:r>
        <w:rPr>
          <w:rFonts w:eastAsia="ＭＳ 明朝"/>
          <w:sz w:val="22"/>
        </w:rPr>
        <w:tab/>
        <w:t>Discussion on UE features for CLI/RIM</w:t>
      </w:r>
      <w:r>
        <w:rPr>
          <w:rFonts w:eastAsia="ＭＳ 明朝"/>
          <w:sz w:val="22"/>
        </w:rPr>
        <w:tab/>
        <w:t>NTT DOCOMO, INC.</w:t>
      </w:r>
    </w:p>
    <w:p w14:paraId="05CE6132" w14:textId="77777777" w:rsidR="000F6FF0" w:rsidRDefault="002A3D49">
      <w:pPr>
        <w:spacing w:afterLines="50" w:after="120"/>
        <w:jc w:val="both"/>
        <w:rPr>
          <w:rFonts w:eastAsia="ＭＳ 明朝"/>
          <w:sz w:val="22"/>
        </w:rPr>
      </w:pPr>
      <w:r>
        <w:rPr>
          <w:rFonts w:eastAsia="ＭＳ 明朝"/>
          <w:sz w:val="22"/>
        </w:rPr>
        <w:t>[6]</w:t>
      </w:r>
      <w:r>
        <w:rPr>
          <w:rFonts w:eastAsia="ＭＳ 明朝"/>
          <w:sz w:val="22"/>
        </w:rPr>
        <w:tab/>
        <w:t>R1-2004486</w:t>
      </w:r>
      <w:r>
        <w:rPr>
          <w:rFonts w:eastAsia="ＭＳ 明朝"/>
          <w:sz w:val="22"/>
        </w:rPr>
        <w:tab/>
        <w:t>Discussion on UE features for CLI</w:t>
      </w:r>
      <w:r>
        <w:rPr>
          <w:rFonts w:eastAsia="ＭＳ 明朝"/>
          <w:sz w:val="22"/>
        </w:rPr>
        <w:tab/>
        <w:t>Qualcomm Incorporated</w:t>
      </w:r>
    </w:p>
    <w:p w14:paraId="59736C9E" w14:textId="77777777" w:rsidR="000F6FF0" w:rsidRDefault="002A3D49">
      <w:pPr>
        <w:spacing w:afterLines="50" w:after="120"/>
        <w:jc w:val="both"/>
        <w:rPr>
          <w:rFonts w:eastAsia="ＭＳ 明朝"/>
          <w:sz w:val="22"/>
        </w:rPr>
      </w:pPr>
      <w:r>
        <w:rPr>
          <w:rFonts w:eastAsia="ＭＳ 明朝"/>
          <w:sz w:val="22"/>
        </w:rPr>
        <w:t>[7]</w:t>
      </w:r>
      <w:r>
        <w:rPr>
          <w:rFonts w:eastAsia="ＭＳ 明朝"/>
          <w:sz w:val="22"/>
        </w:rPr>
        <w:tab/>
        <w:t>R1-2004587</w:t>
      </w:r>
      <w:r>
        <w:rPr>
          <w:rFonts w:eastAsia="ＭＳ 明朝"/>
          <w:sz w:val="22"/>
        </w:rPr>
        <w:tab/>
        <w:t>UE features for CLI/RIM</w:t>
      </w:r>
      <w:r>
        <w:rPr>
          <w:rFonts w:eastAsia="ＭＳ 明朝"/>
          <w:sz w:val="22"/>
        </w:rPr>
        <w:tab/>
        <w:t>Ericsson</w:t>
      </w:r>
    </w:p>
    <w:sectPr w:rsidR="000F6FF0">
      <w:footerReference w:type="default" r:id="rId14"/>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D3532" w14:textId="77777777" w:rsidR="007E0850" w:rsidRDefault="007E0850">
      <w:pPr>
        <w:spacing w:after="0" w:line="240" w:lineRule="auto"/>
      </w:pPr>
      <w:r>
        <w:separator/>
      </w:r>
    </w:p>
  </w:endnote>
  <w:endnote w:type="continuationSeparator" w:id="0">
    <w:p w14:paraId="01C2B037" w14:textId="77777777" w:rsidR="007E0850" w:rsidRDefault="007E0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C1648" w14:textId="77777777" w:rsidR="000F6FF0" w:rsidRDefault="002A3D4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11</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E4B71" w14:textId="77777777" w:rsidR="000F6FF0" w:rsidRDefault="002A3D4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11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11</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2BB5B" w14:textId="77777777" w:rsidR="007E0850" w:rsidRDefault="007E0850">
      <w:pPr>
        <w:spacing w:after="0" w:line="240" w:lineRule="auto"/>
      </w:pPr>
      <w:r>
        <w:separator/>
      </w:r>
    </w:p>
  </w:footnote>
  <w:footnote w:type="continuationSeparator" w:id="0">
    <w:p w14:paraId="7833F241" w14:textId="77777777" w:rsidR="007E0850" w:rsidRDefault="007E08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52C6A"/>
    <w:multiLevelType w:val="multilevel"/>
    <w:tmpl w:val="0DF52C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407C"/>
    <w:multiLevelType w:val="multilevel"/>
    <w:tmpl w:val="3191407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CCC0699"/>
    <w:multiLevelType w:val="singleLevel"/>
    <w:tmpl w:val="4CCC0699"/>
    <w:lvl w:ilvl="0">
      <w:start w:val="1"/>
      <w:numFmt w:val="bullet"/>
      <w:lvlText w:val="‐"/>
      <w:lvlJc w:val="left"/>
      <w:pPr>
        <w:ind w:left="420" w:hanging="420"/>
      </w:pPr>
      <w:rPr>
        <w:rFonts w:ascii="Microsoft YaHei" w:eastAsia="Microsoft YaHei" w:hAnsi="Microsoft YaHei" w:cs="Microsoft YaHei" w:hint="default"/>
      </w:rPr>
    </w:lvl>
  </w:abstractNum>
  <w:abstractNum w:abstractNumId="9" w15:restartNumberingAfterBreak="0">
    <w:nsid w:val="4CE83393"/>
    <w:multiLevelType w:val="multilevel"/>
    <w:tmpl w:val="4CE83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7614F75"/>
    <w:multiLevelType w:val="multilevel"/>
    <w:tmpl w:val="67614F7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70BD651F"/>
    <w:multiLevelType w:val="multilevel"/>
    <w:tmpl w:val="70BD6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11"/>
  </w:num>
  <w:num w:numId="4">
    <w:abstractNumId w:val="14"/>
  </w:num>
  <w:num w:numId="5">
    <w:abstractNumId w:val="2"/>
  </w:num>
  <w:num w:numId="6">
    <w:abstractNumId w:val="10"/>
  </w:num>
  <w:num w:numId="7">
    <w:abstractNumId w:val="7"/>
  </w:num>
  <w:num w:numId="8">
    <w:abstractNumId w:val="6"/>
  </w:num>
  <w:num w:numId="9">
    <w:abstractNumId w:val="5"/>
  </w:num>
  <w:num w:numId="10">
    <w:abstractNumId w:val="1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3"/>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F6"/>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FF0"/>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850"/>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D49"/>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551"/>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278"/>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66F"/>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5D7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B46"/>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B72"/>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B9E"/>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8B5"/>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BC5"/>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72C"/>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4F8"/>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CDF"/>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850"/>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1DF5"/>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3A"/>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90D"/>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47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679"/>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F7E"/>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CE"/>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51"/>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40"/>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4642DB0"/>
    <w:rsid w:val="178A531A"/>
    <w:rsid w:val="47674376"/>
    <w:rsid w:val="7AA1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41F88"/>
  <w15:docId w15:val="{9DFA0A26-9CA2-45E5-9D0E-34451A0C9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uiPriority w:val="99"/>
    <w:qFormat/>
    <w:pPr>
      <w:spacing w:before="240" w:after="60"/>
      <w:outlineLvl w:val="6"/>
    </w:pPr>
    <w:rPr>
      <w:rFonts w:ascii="Arial" w:hAnsi="Arial"/>
    </w:rPr>
  </w:style>
  <w:style w:type="paragraph" w:styleId="8">
    <w:name w:val="heading 8"/>
    <w:basedOn w:val="a0"/>
    <w:next w:val="a0"/>
    <w:link w:val="80"/>
    <w:uiPriority w:val="99"/>
    <w:qFormat/>
    <w:pPr>
      <w:spacing w:before="240" w:after="60"/>
      <w:outlineLvl w:val="7"/>
    </w:pPr>
    <w:rPr>
      <w:rFonts w:ascii="Arial" w:hAnsi="Arial"/>
      <w:i/>
    </w:rPr>
  </w:style>
  <w:style w:type="paragraph" w:styleId="9">
    <w:name w:val="heading 9"/>
    <w:basedOn w:val="a0"/>
    <w:next w:val="a0"/>
    <w:link w:val="9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uiPriority w:val="99"/>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uiPriority w:val="99"/>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3">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uiPriority w:val="99"/>
    <w:qFormat/>
    <w:rPr>
      <w:rFonts w:ascii="Arial" w:eastAsia="ＭＳ ゴシック" w:hAnsi="Arial"/>
      <w:sz w:val="24"/>
      <w:lang w:val="en-GB"/>
    </w:rPr>
  </w:style>
  <w:style w:type="character" w:customStyle="1" w:styleId="80">
    <w:name w:val="見出し 8 (文字)"/>
    <w:basedOn w:val="a1"/>
    <w:link w:val="8"/>
    <w:uiPriority w:val="99"/>
    <w:qFormat/>
    <w:rPr>
      <w:rFonts w:ascii="Arial" w:eastAsia="ＭＳ ゴシック" w:hAnsi="Arial"/>
      <w:i/>
      <w:sz w:val="24"/>
      <w:lang w:val="en-GB"/>
    </w:rPr>
  </w:style>
  <w:style w:type="character" w:customStyle="1" w:styleId="90">
    <w:name w:val="見出し 9 (文字)"/>
    <w:basedOn w:val="a1"/>
    <w:link w:val="9"/>
    <w:uiPriority w:val="99"/>
    <w:qFormat/>
    <w:rPr>
      <w:rFonts w:ascii="Arial" w:eastAsia="ＭＳ ゴシック" w:hAnsi="Arial"/>
      <w:b/>
      <w:i/>
      <w:sz w:val="18"/>
      <w:lang w:val="en-GB"/>
    </w:rPr>
  </w:style>
  <w:style w:type="character" w:customStyle="1" w:styleId="af">
    <w:name w:val="本文 (文字)"/>
    <w:basedOn w:val="a1"/>
    <w:link w:val="ae"/>
    <w:uiPriority w:val="99"/>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semiHidden/>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4">
    <w:name w:val="脚注文字列 (文字)1"/>
    <w:basedOn w:val="a1"/>
    <w:semiHidden/>
    <w:qFormat/>
    <w:rPr>
      <w:rFonts w:ascii="Times New Roman" w:eastAsia="ＭＳ ゴシック" w:hAnsi="Times New Roman"/>
      <w:sz w:val="24"/>
      <w:lang w:val="en-GB"/>
    </w:rPr>
  </w:style>
  <w:style w:type="character" w:customStyle="1" w:styleId="15">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Proposal">
    <w:name w:val="Proposal"/>
    <w:basedOn w:val="ae"/>
    <w:qFormat/>
    <w:pPr>
      <w:widowControl w:val="0"/>
      <w:numPr>
        <w:numId w:val="8"/>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936073B8-76F9-42DD-B478-8DEA9A88B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1667</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2020-05-24T00:57:00Z</dcterms:created>
  <dcterms:modified xsi:type="dcterms:W3CDTF">2020-05-24T00:57:00Z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2020-05-21 15:44:26Z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KSOProductBuildVer">
    <vt:lpwstr>2052-11.8.2.8411</vt:lpwstr>
  </property>
  <property fmtid="{D5CDD505-2E9C-101B-9397-08002B2CF9AE}" pid="17" name="CTPClassification">
    <vt:lpwstr>CTP_NT</vt:lpwstr>
  </property>
</Properties>
</file>